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sz w:val="20"/>
        </w:rPr>
      </w:pPr>
    </w:p>
    <w:p>
      <w:pPr>
        <w:pStyle w:val="2"/>
        <w:rPr>
          <w:rFonts w:asciiTheme="minorEastAsia" w:hAnsiTheme="minorEastAsia" w:eastAsiaTheme="minorEastAsia"/>
          <w:sz w:val="20"/>
        </w:rPr>
      </w:pPr>
    </w:p>
    <w:p>
      <w:pPr>
        <w:pStyle w:val="2"/>
        <w:spacing w:before="8"/>
        <w:rPr>
          <w:rFonts w:asciiTheme="minorEastAsia" w:hAnsiTheme="minorEastAsia" w:eastAsiaTheme="minorEastAsia"/>
          <w:sz w:val="23"/>
        </w:rPr>
      </w:pPr>
    </w:p>
    <w:p>
      <w:pPr>
        <w:spacing w:line="1123" w:lineRule="exact"/>
        <w:ind w:left="5"/>
        <w:jc w:val="center"/>
        <w:rPr>
          <w:rFonts w:asciiTheme="minorEastAsia" w:hAnsiTheme="minorEastAsia" w:eastAsiaTheme="minorEastAsia"/>
          <w:b/>
          <w:sz w:val="84"/>
        </w:rPr>
      </w:pPr>
      <w:r>
        <w:rPr>
          <w:rFonts w:hint="eastAsia" w:asciiTheme="minorEastAsia" w:hAnsiTheme="minorEastAsia" w:eastAsiaTheme="minorEastAsia"/>
          <w:b/>
          <w:sz w:val="84"/>
        </w:rPr>
        <w:t>南通市海门区政府采购</w:t>
      </w:r>
    </w:p>
    <w:p>
      <w:pPr>
        <w:spacing w:line="1205" w:lineRule="exact"/>
        <w:ind w:left="11"/>
        <w:jc w:val="center"/>
        <w:rPr>
          <w:rFonts w:asciiTheme="minorEastAsia" w:hAnsiTheme="minorEastAsia" w:eastAsiaTheme="minorEastAsia"/>
          <w:b/>
          <w:sz w:val="84"/>
        </w:rPr>
      </w:pPr>
      <w:r>
        <w:rPr>
          <w:rFonts w:hint="eastAsia" w:asciiTheme="minorEastAsia" w:hAnsiTheme="minorEastAsia" w:eastAsiaTheme="minorEastAsia"/>
          <w:b/>
          <w:sz w:val="84"/>
        </w:rPr>
        <w:t>招标文件</w:t>
      </w:r>
    </w:p>
    <w:p>
      <w:pPr>
        <w:pStyle w:val="2"/>
        <w:rPr>
          <w:rFonts w:asciiTheme="minorEastAsia" w:hAnsiTheme="minorEastAsia" w:eastAsiaTheme="minorEastAsia"/>
          <w:b/>
          <w:sz w:val="86"/>
        </w:rPr>
      </w:pPr>
    </w:p>
    <w:p>
      <w:pPr>
        <w:pStyle w:val="2"/>
        <w:rPr>
          <w:rFonts w:asciiTheme="minorEastAsia" w:hAnsiTheme="minorEastAsia" w:eastAsiaTheme="minorEastAsia"/>
          <w:b/>
          <w:sz w:val="86"/>
        </w:rPr>
      </w:pPr>
    </w:p>
    <w:p>
      <w:pPr>
        <w:pStyle w:val="2"/>
        <w:rPr>
          <w:rFonts w:asciiTheme="minorEastAsia" w:hAnsiTheme="minorEastAsia" w:eastAsiaTheme="minorEastAsia"/>
          <w:b/>
          <w:sz w:val="86"/>
        </w:rPr>
      </w:pPr>
    </w:p>
    <w:p>
      <w:pPr>
        <w:pStyle w:val="2"/>
        <w:rPr>
          <w:rFonts w:asciiTheme="minorEastAsia" w:hAnsiTheme="minorEastAsia" w:eastAsiaTheme="minorEastAsia"/>
          <w:b/>
          <w:sz w:val="86"/>
        </w:rPr>
      </w:pPr>
    </w:p>
    <w:p>
      <w:pPr>
        <w:pStyle w:val="2"/>
        <w:ind w:firstLine="1680" w:firstLineChars="600"/>
        <w:rPr>
          <w:rFonts w:asciiTheme="minorEastAsia" w:hAnsiTheme="minorEastAsia" w:eastAsiaTheme="minorEastAsia"/>
          <w:sz w:val="28"/>
          <w:szCs w:val="28"/>
          <w:u w:val="single"/>
        </w:rPr>
      </w:pPr>
      <w:r>
        <w:rPr>
          <w:rFonts w:asciiTheme="minorEastAsia" w:hAnsiTheme="minorEastAsia" w:eastAsiaTheme="minorEastAsia"/>
          <w:sz w:val="28"/>
          <w:szCs w:val="28"/>
        </w:rPr>
        <w:t>项目名称：</w:t>
      </w:r>
      <w:r>
        <w:rPr>
          <w:rFonts w:hint="eastAsia" w:asciiTheme="minorEastAsia" w:hAnsiTheme="minorEastAsia" w:eastAsiaTheme="minorEastAsia"/>
          <w:sz w:val="28"/>
          <w:szCs w:val="28"/>
          <w:u w:val="single"/>
        </w:rPr>
        <w:t>南通市海门区区域社会治理现代化指挥中心采购海门</w:t>
      </w:r>
      <w:r>
        <w:rPr>
          <w:rFonts w:hint="eastAsia" w:asciiTheme="minorEastAsia" w:hAnsiTheme="minorEastAsia" w:eastAsiaTheme="minorEastAsia"/>
          <w:sz w:val="28"/>
          <w:szCs w:val="28"/>
          <w:u w:val="single"/>
          <w:lang w:val="en-US"/>
        </w:rPr>
        <w:t>区全景全域指挥调度</w:t>
      </w:r>
      <w:r>
        <w:rPr>
          <w:rFonts w:hint="eastAsia" w:asciiTheme="minorEastAsia" w:hAnsiTheme="minorEastAsia" w:eastAsiaTheme="minorEastAsia"/>
          <w:sz w:val="28"/>
          <w:szCs w:val="28"/>
          <w:u w:val="single"/>
        </w:rPr>
        <w:t>平台和</w:t>
      </w:r>
      <w:r>
        <w:rPr>
          <w:rFonts w:hint="eastAsia" w:asciiTheme="minorEastAsia" w:hAnsiTheme="minorEastAsia" w:eastAsiaTheme="minorEastAsia"/>
          <w:sz w:val="28"/>
          <w:szCs w:val="28"/>
          <w:u w:val="single"/>
          <w:lang w:val="en-US"/>
        </w:rPr>
        <w:t>海门区</w:t>
      </w:r>
      <w:r>
        <w:rPr>
          <w:rFonts w:hint="eastAsia" w:asciiTheme="minorEastAsia" w:hAnsiTheme="minorEastAsia" w:eastAsiaTheme="minorEastAsia"/>
          <w:sz w:val="28"/>
          <w:szCs w:val="28"/>
          <w:u w:val="single"/>
        </w:rPr>
        <w:t>政务服务总客服系统三级等保测评项目</w:t>
      </w:r>
    </w:p>
    <w:p>
      <w:pPr>
        <w:pStyle w:val="26"/>
      </w:pPr>
    </w:p>
    <w:p>
      <w:pPr>
        <w:pStyle w:val="2"/>
        <w:ind w:firstLine="1680" w:firstLineChars="600"/>
        <w:rPr>
          <w:rFonts w:asciiTheme="minorEastAsia" w:hAnsiTheme="minorEastAsia" w:eastAsiaTheme="minorEastAsia"/>
          <w:sz w:val="28"/>
          <w:szCs w:val="28"/>
          <w:lang w:val="en-US"/>
        </w:rPr>
      </w:pPr>
      <w:r>
        <w:rPr>
          <w:rFonts w:asciiTheme="minorEastAsia" w:hAnsiTheme="minorEastAsia" w:eastAsiaTheme="minorEastAsia"/>
          <w:sz w:val="28"/>
          <w:szCs w:val="28"/>
        </w:rPr>
        <w:t>采购单位:</w:t>
      </w:r>
      <w:r>
        <w:rPr>
          <w:rFonts w:hint="eastAsia" w:asciiTheme="minorEastAsia" w:hAnsiTheme="minorEastAsia" w:eastAsiaTheme="minorEastAsia"/>
          <w:sz w:val="28"/>
          <w:szCs w:val="28"/>
          <w:u w:val="single"/>
        </w:rPr>
        <w:t xml:space="preserve"> 南通市海门区区域社会治理现代化指挥中心</w:t>
      </w:r>
    </w:p>
    <w:p>
      <w:pPr>
        <w:pStyle w:val="2"/>
        <w:rPr>
          <w:rFonts w:asciiTheme="minorEastAsia" w:hAnsiTheme="minorEastAsia" w:eastAsiaTheme="minorEastAsia"/>
          <w:sz w:val="20"/>
        </w:rPr>
      </w:pPr>
    </w:p>
    <w:p>
      <w:pPr>
        <w:pStyle w:val="2"/>
        <w:rPr>
          <w:rFonts w:asciiTheme="minorEastAsia" w:hAnsiTheme="minorEastAsia" w:eastAsiaTheme="minorEastAsia"/>
          <w:sz w:val="20"/>
        </w:rPr>
      </w:pPr>
    </w:p>
    <w:p>
      <w:pPr>
        <w:pStyle w:val="2"/>
        <w:spacing w:before="10"/>
        <w:rPr>
          <w:rFonts w:asciiTheme="minorEastAsia" w:hAnsiTheme="minorEastAsia" w:eastAsiaTheme="minorEastAsia"/>
          <w:sz w:val="18"/>
        </w:rPr>
      </w:pPr>
    </w:p>
    <w:p>
      <w:pPr>
        <w:pStyle w:val="4"/>
        <w:spacing w:before="55" w:line="338" w:lineRule="auto"/>
        <w:ind w:left="3637" w:right="2644" w:hanging="1045"/>
        <w:rPr>
          <w:rFonts w:asciiTheme="minorEastAsia" w:hAnsiTheme="minorEastAsia" w:eastAsiaTheme="minorEastAsia"/>
          <w:szCs w:val="22"/>
        </w:rPr>
      </w:pPr>
    </w:p>
    <w:p>
      <w:pPr>
        <w:pStyle w:val="5"/>
      </w:pPr>
    </w:p>
    <w:p>
      <w:pPr>
        <w:pStyle w:val="5"/>
      </w:pPr>
    </w:p>
    <w:p>
      <w:pPr>
        <w:pStyle w:val="4"/>
        <w:spacing w:before="55" w:line="338" w:lineRule="auto"/>
        <w:ind w:left="3637" w:right="2644" w:hanging="1045"/>
        <w:rPr>
          <w:rFonts w:asciiTheme="minorEastAsia" w:hAnsiTheme="minorEastAsia" w:eastAsiaTheme="minorEastAsia"/>
          <w:szCs w:val="22"/>
        </w:rPr>
      </w:pPr>
    </w:p>
    <w:p>
      <w:pPr>
        <w:pStyle w:val="4"/>
        <w:spacing w:before="55" w:line="338" w:lineRule="auto"/>
        <w:ind w:left="3637" w:right="2644" w:hanging="1045"/>
        <w:rPr>
          <w:rFonts w:asciiTheme="minorEastAsia" w:hAnsiTheme="minorEastAsia" w:eastAsiaTheme="minorEastAsia"/>
        </w:rPr>
      </w:pPr>
      <w:r>
        <w:rPr>
          <w:rFonts w:asciiTheme="minorEastAsia" w:hAnsiTheme="minorEastAsia" w:eastAsiaTheme="minorEastAsia"/>
          <w:spacing w:val="-21"/>
        </w:rPr>
        <w:t>二○二</w:t>
      </w:r>
      <w:r>
        <w:rPr>
          <w:rFonts w:hint="eastAsia" w:asciiTheme="minorEastAsia" w:hAnsiTheme="minorEastAsia" w:eastAsiaTheme="minorEastAsia"/>
          <w:spacing w:val="-21"/>
        </w:rPr>
        <w:t>四</w:t>
      </w:r>
      <w:r>
        <w:rPr>
          <w:rFonts w:asciiTheme="minorEastAsia" w:hAnsiTheme="minorEastAsia" w:eastAsiaTheme="minorEastAsia"/>
          <w:spacing w:val="-21"/>
        </w:rPr>
        <w:t>年</w:t>
      </w:r>
      <w:r>
        <w:rPr>
          <w:rFonts w:hint="eastAsia" w:asciiTheme="minorEastAsia" w:hAnsiTheme="minorEastAsia" w:eastAsiaTheme="minorEastAsia"/>
          <w:spacing w:val="-21"/>
        </w:rPr>
        <w:t>九</w:t>
      </w:r>
      <w:r>
        <w:rPr>
          <w:rFonts w:asciiTheme="minorEastAsia" w:hAnsiTheme="minorEastAsia" w:eastAsiaTheme="minorEastAsia"/>
          <w:spacing w:val="-21"/>
        </w:rPr>
        <w:t>月</w:t>
      </w:r>
      <w:r>
        <w:rPr>
          <w:rFonts w:hint="eastAsia" w:asciiTheme="minorEastAsia" w:hAnsiTheme="minorEastAsia" w:eastAsiaTheme="minorEastAsia"/>
          <w:spacing w:val="-21"/>
          <w:lang w:eastAsia="zh-CN"/>
        </w:rPr>
        <w:t>二十九</w:t>
      </w:r>
      <w:r>
        <w:rPr>
          <w:rFonts w:asciiTheme="minorEastAsia" w:hAnsiTheme="minorEastAsia" w:eastAsiaTheme="minorEastAsia"/>
          <w:spacing w:val="-21"/>
        </w:rPr>
        <w:t>日</w:t>
      </w:r>
    </w:p>
    <w:p>
      <w:pPr>
        <w:pStyle w:val="3"/>
        <w:tabs>
          <w:tab w:val="left" w:pos="2221"/>
        </w:tabs>
        <w:spacing w:before="122"/>
        <w:rPr>
          <w:rFonts w:asciiTheme="minorEastAsia" w:hAnsiTheme="minorEastAsia" w:eastAsiaTheme="minorEastAsia"/>
        </w:rPr>
      </w:pPr>
    </w:p>
    <w:p>
      <w:pPr>
        <w:pStyle w:val="3"/>
        <w:tabs>
          <w:tab w:val="left" w:pos="2221"/>
        </w:tabs>
        <w:spacing w:before="122"/>
        <w:rPr>
          <w:rFonts w:asciiTheme="minorEastAsia" w:hAnsiTheme="minorEastAsia" w:eastAsiaTheme="minorEastAsia"/>
        </w:rPr>
      </w:pPr>
    </w:p>
    <w:p>
      <w:pPr>
        <w:pStyle w:val="3"/>
        <w:tabs>
          <w:tab w:val="left" w:pos="2221"/>
        </w:tabs>
        <w:spacing w:before="122"/>
        <w:rPr>
          <w:rFonts w:asciiTheme="minorEastAsia" w:hAnsiTheme="minorEastAsia" w:eastAsiaTheme="minorEastAsia"/>
        </w:rPr>
      </w:pPr>
      <w:r>
        <w:rPr>
          <w:rFonts w:asciiTheme="minorEastAsia" w:hAnsiTheme="minorEastAsia" w:eastAsiaTheme="minorEastAsia"/>
        </w:rPr>
        <w:t>第一部分</w:t>
      </w:r>
      <w:r>
        <w:rPr>
          <w:rFonts w:asciiTheme="minorEastAsia" w:hAnsiTheme="minorEastAsia" w:eastAsiaTheme="minorEastAsia"/>
        </w:rPr>
        <w:tab/>
      </w:r>
      <w:r>
        <w:rPr>
          <w:rFonts w:hint="eastAsia"/>
        </w:rPr>
        <w:t>竞争性磋商</w:t>
      </w:r>
      <w:r>
        <w:rPr>
          <w:rFonts w:asciiTheme="minorEastAsia" w:hAnsiTheme="minorEastAsia" w:eastAsiaTheme="minorEastAsia"/>
        </w:rPr>
        <w:t>公告</w:t>
      </w:r>
    </w:p>
    <w:p>
      <w:pPr>
        <w:tabs>
          <w:tab w:val="left" w:pos="3233"/>
        </w:tabs>
        <w:spacing w:before="42" w:line="360" w:lineRule="auto"/>
        <w:ind w:right="459" w:firstLine="720" w:firstLineChars="300"/>
        <w:rPr>
          <w:rFonts w:asciiTheme="minorEastAsia" w:hAnsiTheme="minorEastAsia" w:eastAsiaTheme="minorEastAsia"/>
          <w:sz w:val="24"/>
        </w:rPr>
      </w:pPr>
      <w:r>
        <w:rPr>
          <w:rFonts w:asciiTheme="minorEastAsia" w:hAnsiTheme="minorEastAsia" w:eastAsiaTheme="minorEastAsia"/>
          <w:sz w:val="24"/>
        </w:rPr>
        <w:t>根据政府采购相关法律法规的规定，</w:t>
      </w:r>
      <w:r>
        <w:rPr>
          <w:rFonts w:hint="eastAsia" w:asciiTheme="minorEastAsia" w:hAnsiTheme="minorEastAsia" w:eastAsiaTheme="minorEastAsia"/>
          <w:sz w:val="24"/>
          <w:u w:val="single"/>
        </w:rPr>
        <w:t>南通市海门区区域社会治理现代化指挥中心</w:t>
      </w:r>
      <w:r>
        <w:rPr>
          <w:rFonts w:asciiTheme="minorEastAsia" w:hAnsiTheme="minorEastAsia" w:eastAsiaTheme="minorEastAsia"/>
          <w:sz w:val="24"/>
        </w:rPr>
        <w:t>就</w:t>
      </w:r>
      <w:r>
        <w:rPr>
          <w:rFonts w:hint="eastAsia" w:cs="仿宋"/>
          <w:sz w:val="24"/>
          <w:szCs w:val="24"/>
          <w:u w:val="single"/>
        </w:rPr>
        <w:t>南通市海门区区域社会治理现代化指挥中心采购海门</w:t>
      </w:r>
      <w:r>
        <w:rPr>
          <w:rFonts w:hint="eastAsia" w:cs="仿宋"/>
          <w:sz w:val="24"/>
          <w:szCs w:val="24"/>
          <w:u w:val="single"/>
          <w:lang w:val="en-US"/>
        </w:rPr>
        <w:t>区</w:t>
      </w:r>
      <w:r>
        <w:rPr>
          <w:rFonts w:hint="eastAsia" w:cs="仿宋"/>
          <w:sz w:val="24"/>
          <w:szCs w:val="24"/>
          <w:u w:val="single"/>
        </w:rPr>
        <w:t>全景全域</w:t>
      </w:r>
      <w:r>
        <w:rPr>
          <w:rFonts w:hint="eastAsia" w:cs="仿宋"/>
          <w:sz w:val="24"/>
          <w:szCs w:val="24"/>
          <w:u w:val="single"/>
          <w:lang w:val="en-US"/>
        </w:rPr>
        <w:t>指挥调度</w:t>
      </w:r>
      <w:r>
        <w:rPr>
          <w:rFonts w:hint="eastAsia" w:cs="仿宋"/>
          <w:sz w:val="24"/>
          <w:szCs w:val="24"/>
          <w:u w:val="single"/>
        </w:rPr>
        <w:t>平台和</w:t>
      </w:r>
      <w:r>
        <w:rPr>
          <w:rFonts w:hint="eastAsia" w:cs="仿宋"/>
          <w:sz w:val="24"/>
          <w:szCs w:val="24"/>
          <w:u w:val="single"/>
          <w:lang w:val="en-US"/>
        </w:rPr>
        <w:t>海门区</w:t>
      </w:r>
      <w:r>
        <w:rPr>
          <w:rFonts w:hint="eastAsia" w:cs="仿宋"/>
          <w:sz w:val="24"/>
          <w:szCs w:val="24"/>
          <w:u w:val="single"/>
        </w:rPr>
        <w:t>政务服务总客服系统三级等保测评项目</w:t>
      </w:r>
      <w:r>
        <w:rPr>
          <w:rFonts w:asciiTheme="minorEastAsia" w:hAnsiTheme="minorEastAsia" w:eastAsiaTheme="minorEastAsia"/>
          <w:sz w:val="24"/>
        </w:rPr>
        <w:t>进行</w:t>
      </w:r>
      <w:r>
        <w:rPr>
          <w:rFonts w:hint="eastAsia"/>
          <w:sz w:val="24"/>
          <w:szCs w:val="24"/>
        </w:rPr>
        <w:t>竞争性磋商</w:t>
      </w:r>
      <w:r>
        <w:rPr>
          <w:rFonts w:asciiTheme="minorEastAsia" w:hAnsiTheme="minorEastAsia" w:eastAsiaTheme="minorEastAsia"/>
          <w:sz w:val="24"/>
        </w:rPr>
        <w:t>，欢迎符合要求的单位前来参与</w:t>
      </w:r>
      <w:r>
        <w:rPr>
          <w:rFonts w:hint="eastAsia"/>
          <w:sz w:val="24"/>
          <w:szCs w:val="24"/>
        </w:rPr>
        <w:t>磋商</w:t>
      </w:r>
      <w:r>
        <w:rPr>
          <w:rFonts w:asciiTheme="minorEastAsia" w:hAnsiTheme="minorEastAsia" w:eastAsiaTheme="minorEastAsia"/>
          <w:sz w:val="24"/>
        </w:rPr>
        <w:t>。</w:t>
      </w:r>
    </w:p>
    <w:p>
      <w:pPr>
        <w:spacing w:before="31" w:line="360" w:lineRule="auto"/>
        <w:ind w:left="472"/>
        <w:rPr>
          <w:rFonts w:asciiTheme="minorEastAsia" w:hAnsiTheme="minorEastAsia" w:eastAsiaTheme="minorEastAsia"/>
          <w:sz w:val="24"/>
        </w:rPr>
      </w:pPr>
      <w:r>
        <w:rPr>
          <w:rFonts w:asciiTheme="minorEastAsia" w:hAnsiTheme="minorEastAsia" w:eastAsiaTheme="minorEastAsia"/>
          <w:sz w:val="24"/>
        </w:rPr>
        <w:t>一、项目名称：</w:t>
      </w:r>
      <w:r>
        <w:rPr>
          <w:rFonts w:hint="eastAsia" w:cs="仿宋"/>
          <w:sz w:val="24"/>
          <w:szCs w:val="24"/>
          <w:u w:val="single"/>
        </w:rPr>
        <w:t>南通市海门区区域社会治理现代化指挥中心采购海门</w:t>
      </w:r>
      <w:r>
        <w:rPr>
          <w:rFonts w:hint="eastAsia" w:cs="仿宋"/>
          <w:sz w:val="24"/>
          <w:szCs w:val="24"/>
          <w:u w:val="single"/>
          <w:lang w:val="en-US"/>
        </w:rPr>
        <w:t>区</w:t>
      </w:r>
      <w:r>
        <w:rPr>
          <w:rFonts w:hint="eastAsia" w:cs="仿宋"/>
          <w:sz w:val="24"/>
          <w:szCs w:val="24"/>
          <w:u w:val="single"/>
        </w:rPr>
        <w:t>全景全域</w:t>
      </w:r>
      <w:r>
        <w:rPr>
          <w:rFonts w:hint="eastAsia" w:cs="仿宋"/>
          <w:sz w:val="24"/>
          <w:szCs w:val="24"/>
          <w:u w:val="single"/>
          <w:lang w:val="en-US"/>
        </w:rPr>
        <w:t>指挥调度</w:t>
      </w:r>
      <w:r>
        <w:rPr>
          <w:rFonts w:hint="eastAsia" w:cs="仿宋"/>
          <w:sz w:val="24"/>
          <w:szCs w:val="24"/>
          <w:u w:val="single"/>
        </w:rPr>
        <w:t>平台和</w:t>
      </w:r>
      <w:r>
        <w:rPr>
          <w:rFonts w:hint="eastAsia" w:cs="仿宋"/>
          <w:sz w:val="24"/>
          <w:szCs w:val="24"/>
          <w:u w:val="single"/>
          <w:lang w:val="en-US"/>
        </w:rPr>
        <w:t>海门区</w:t>
      </w:r>
      <w:r>
        <w:rPr>
          <w:rFonts w:hint="eastAsia" w:cs="仿宋"/>
          <w:sz w:val="24"/>
          <w:szCs w:val="24"/>
          <w:u w:val="single"/>
        </w:rPr>
        <w:t>政务服务总客服系统三级等保测评项目</w:t>
      </w:r>
    </w:p>
    <w:p>
      <w:pPr>
        <w:spacing w:before="33" w:line="360" w:lineRule="auto"/>
        <w:ind w:firstLine="960" w:firstLineChars="400"/>
        <w:rPr>
          <w:rFonts w:asciiTheme="minorEastAsia" w:hAnsiTheme="minorEastAsia" w:eastAsiaTheme="minorEastAsia"/>
          <w:sz w:val="24"/>
        </w:rPr>
      </w:pPr>
      <w:r>
        <w:rPr>
          <w:rFonts w:asciiTheme="minorEastAsia" w:hAnsiTheme="minorEastAsia" w:eastAsiaTheme="minorEastAsia"/>
          <w:sz w:val="24"/>
        </w:rPr>
        <w:t>本项目主要内容简介：详见项目需求。</w:t>
      </w:r>
    </w:p>
    <w:p>
      <w:pPr>
        <w:widowControl/>
        <w:spacing w:line="360" w:lineRule="auto"/>
        <w:ind w:firstLine="480" w:firstLineChars="200"/>
        <w:textAlignment w:val="baseline"/>
        <w:rPr>
          <w:sz w:val="24"/>
          <w:szCs w:val="24"/>
        </w:rPr>
      </w:pPr>
      <w:r>
        <w:rPr>
          <w:rFonts w:hint="eastAsia"/>
          <w:sz w:val="24"/>
          <w:szCs w:val="24"/>
        </w:rPr>
        <w:t xml:space="preserve">二、本项目最高限价为人民币 </w:t>
      </w:r>
      <w:r>
        <w:rPr>
          <w:rFonts w:hint="eastAsia"/>
          <w:sz w:val="24"/>
          <w:szCs w:val="24"/>
          <w:lang w:val="en-US"/>
        </w:rPr>
        <w:t>10万</w:t>
      </w:r>
      <w:r>
        <w:rPr>
          <w:rFonts w:hint="eastAsia"/>
          <w:sz w:val="24"/>
          <w:szCs w:val="24"/>
        </w:rPr>
        <w:t>元,投标报价超过最高限价的视为无效报价。</w:t>
      </w:r>
    </w:p>
    <w:p>
      <w:pPr>
        <w:widowControl/>
        <w:spacing w:line="360" w:lineRule="auto"/>
        <w:ind w:firstLine="480" w:firstLineChars="200"/>
        <w:textAlignment w:val="baseline"/>
        <w:rPr>
          <w:sz w:val="24"/>
          <w:szCs w:val="24"/>
        </w:rPr>
      </w:pPr>
      <w:r>
        <w:rPr>
          <w:rFonts w:hint="eastAsia"/>
          <w:sz w:val="24"/>
          <w:szCs w:val="24"/>
        </w:rPr>
        <w:t>三、投标供应商的资格要求:</w:t>
      </w:r>
    </w:p>
    <w:p>
      <w:pPr>
        <w:widowControl/>
        <w:spacing w:line="360" w:lineRule="auto"/>
        <w:ind w:firstLine="480" w:firstLineChars="200"/>
        <w:textAlignment w:val="baseline"/>
        <w:rPr>
          <w:sz w:val="24"/>
          <w:szCs w:val="24"/>
        </w:rPr>
      </w:pPr>
      <w:r>
        <w:rPr>
          <w:rFonts w:hint="eastAsia"/>
          <w:sz w:val="24"/>
          <w:szCs w:val="24"/>
        </w:rPr>
        <w:t>（一）满足《中华人民共和国政府采购法》第二十二条规定：</w:t>
      </w:r>
    </w:p>
    <w:p>
      <w:pPr>
        <w:widowControl/>
        <w:spacing w:line="360" w:lineRule="auto"/>
        <w:ind w:firstLine="480" w:firstLineChars="200"/>
        <w:textAlignment w:val="baseline"/>
        <w:rPr>
          <w:sz w:val="24"/>
          <w:szCs w:val="24"/>
        </w:rPr>
      </w:pPr>
      <w:r>
        <w:rPr>
          <w:rFonts w:hint="eastAsia"/>
          <w:sz w:val="24"/>
          <w:szCs w:val="24"/>
        </w:rPr>
        <w:t>1、法人或者其他组织的营业执照等证明文件，自然人的身份证明；</w:t>
      </w:r>
    </w:p>
    <w:p>
      <w:pPr>
        <w:widowControl/>
        <w:spacing w:line="360" w:lineRule="auto"/>
        <w:ind w:firstLine="480" w:firstLineChars="200"/>
        <w:textAlignment w:val="baseline"/>
        <w:rPr>
          <w:sz w:val="24"/>
          <w:szCs w:val="24"/>
        </w:rPr>
      </w:pPr>
      <w:r>
        <w:rPr>
          <w:rFonts w:hint="eastAsia"/>
          <w:sz w:val="24"/>
          <w:szCs w:val="24"/>
        </w:rPr>
        <w:t>2、上一年度的财务状况报告（格式见招标文件附件）；</w:t>
      </w:r>
    </w:p>
    <w:p>
      <w:pPr>
        <w:widowControl/>
        <w:spacing w:line="360" w:lineRule="auto"/>
        <w:ind w:firstLine="480" w:firstLineChars="200"/>
        <w:textAlignment w:val="baseline"/>
        <w:rPr>
          <w:sz w:val="24"/>
          <w:szCs w:val="24"/>
        </w:rPr>
      </w:pPr>
      <w:r>
        <w:rPr>
          <w:rFonts w:hint="eastAsia"/>
          <w:sz w:val="24"/>
          <w:szCs w:val="24"/>
        </w:rPr>
        <w:t>3、依法缴纳税收和社会保障资金的相关材料；</w:t>
      </w:r>
    </w:p>
    <w:p>
      <w:pPr>
        <w:widowControl/>
        <w:spacing w:line="360" w:lineRule="auto"/>
        <w:ind w:firstLine="480" w:firstLineChars="200"/>
        <w:textAlignment w:val="baseline"/>
        <w:rPr>
          <w:sz w:val="24"/>
          <w:szCs w:val="24"/>
        </w:rPr>
      </w:pPr>
      <w:r>
        <w:rPr>
          <w:rFonts w:hint="eastAsia"/>
          <w:sz w:val="24"/>
          <w:szCs w:val="24"/>
        </w:rPr>
        <w:t>4、具备履行合同所必需的设备和专业技术能力的证明材料（格式见招标文件附件）；</w:t>
      </w:r>
    </w:p>
    <w:p>
      <w:pPr>
        <w:widowControl/>
        <w:spacing w:line="360" w:lineRule="auto"/>
        <w:ind w:firstLine="480" w:firstLineChars="200"/>
        <w:textAlignment w:val="baseline"/>
        <w:rPr>
          <w:sz w:val="24"/>
          <w:szCs w:val="24"/>
        </w:rPr>
      </w:pPr>
      <w:r>
        <w:rPr>
          <w:rFonts w:hint="eastAsia"/>
          <w:sz w:val="24"/>
          <w:szCs w:val="24"/>
        </w:rPr>
        <w:t>5、参加政府采购活动前3年内在经营活动中没有重大违法记录的书面声明（格式见招标文件附件）。</w:t>
      </w:r>
    </w:p>
    <w:p>
      <w:pPr>
        <w:widowControl/>
        <w:spacing w:line="360" w:lineRule="auto"/>
        <w:ind w:firstLine="480" w:firstLineChars="200"/>
        <w:textAlignment w:val="baseline"/>
        <w:rPr>
          <w:sz w:val="24"/>
          <w:szCs w:val="24"/>
        </w:rPr>
      </w:pPr>
      <w:r>
        <w:rPr>
          <w:rFonts w:hint="eastAsia"/>
          <w:sz w:val="24"/>
          <w:szCs w:val="24"/>
        </w:rPr>
        <w:t xml:space="preserve">（二）未被“信用中国”网站列入失信被执行人、重大税收违法案件当事人名单、政府采购严重失信行为记录名单（提供网站截图）；  </w:t>
      </w:r>
    </w:p>
    <w:p>
      <w:pPr>
        <w:widowControl/>
        <w:spacing w:line="360" w:lineRule="auto"/>
        <w:ind w:firstLine="480" w:firstLineChars="200"/>
        <w:textAlignment w:val="baseline"/>
        <w:rPr>
          <w:sz w:val="24"/>
          <w:szCs w:val="24"/>
        </w:rPr>
      </w:pPr>
      <w:r>
        <w:rPr>
          <w:rFonts w:hint="eastAsia"/>
          <w:sz w:val="24"/>
          <w:szCs w:val="24"/>
        </w:rPr>
        <w:t>（三）投标供应商其他资格要求：投标供应商必须具有公安部门网络安全等级保护评估中心颁发的《网络安全等级测评与检测评估机构服务认证证书》，提供证书复印件（加盖公章）</w:t>
      </w:r>
    </w:p>
    <w:p>
      <w:pPr>
        <w:widowControl/>
        <w:spacing w:line="360" w:lineRule="auto"/>
        <w:ind w:firstLine="480" w:firstLineChars="200"/>
        <w:textAlignment w:val="baseline"/>
        <w:rPr>
          <w:sz w:val="24"/>
          <w:szCs w:val="24"/>
        </w:rPr>
      </w:pPr>
      <w:r>
        <w:rPr>
          <w:rFonts w:hint="eastAsia"/>
          <w:sz w:val="24"/>
          <w:szCs w:val="24"/>
        </w:rPr>
        <w:t>（四）落实政府采购政策需满足的资格要求：本项目属于专门面向中小微企业采购的项目，供应商应为中小微企业、监狱企业、残疾人福利性单位。</w:t>
      </w:r>
    </w:p>
    <w:p>
      <w:pPr>
        <w:widowControl/>
        <w:spacing w:line="360" w:lineRule="auto"/>
        <w:ind w:firstLine="480" w:firstLineChars="200"/>
      </w:pPr>
      <w:r>
        <w:rPr>
          <w:rFonts w:hint="eastAsia"/>
          <w:sz w:val="24"/>
          <w:szCs w:val="24"/>
        </w:rPr>
        <w:t>（五）本项目不接受联合体投标。</w:t>
      </w:r>
      <w:r>
        <w:rPr>
          <w:rFonts w:hint="eastAsia"/>
          <w:sz w:val="24"/>
          <w:szCs w:val="24"/>
        </w:rPr>
        <w:tab/>
      </w:r>
    </w:p>
    <w:p>
      <w:pPr>
        <w:pStyle w:val="2"/>
        <w:spacing w:before="8"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四、招标采购方式：</w:t>
      </w:r>
      <w:r>
        <w:rPr>
          <w:rFonts w:hint="eastAsia"/>
          <w:sz w:val="24"/>
          <w:szCs w:val="24"/>
        </w:rPr>
        <w:t>竞争性磋商</w:t>
      </w:r>
      <w:r>
        <w:rPr>
          <w:rFonts w:hint="eastAsia" w:asciiTheme="minorEastAsia" w:hAnsiTheme="minorEastAsia" w:eastAsiaTheme="minorEastAsia"/>
          <w:sz w:val="24"/>
          <w:szCs w:val="22"/>
        </w:rPr>
        <w:t>。</w:t>
      </w:r>
    </w:p>
    <w:p>
      <w:pPr>
        <w:widowControl/>
        <w:spacing w:line="360" w:lineRule="auto"/>
        <w:ind w:firstLine="480" w:firstLineChars="200"/>
        <w:textAlignment w:val="baseline"/>
        <w:rPr>
          <w:sz w:val="24"/>
          <w:szCs w:val="24"/>
        </w:rPr>
      </w:pPr>
      <w:r>
        <w:rPr>
          <w:rFonts w:asciiTheme="minorEastAsia" w:hAnsiTheme="minorEastAsia" w:eastAsiaTheme="minorEastAsia"/>
          <w:sz w:val="24"/>
          <w:szCs w:val="24"/>
        </w:rPr>
        <w:t>五、采购</w:t>
      </w:r>
      <w:r>
        <w:rPr>
          <w:rFonts w:hint="eastAsia"/>
          <w:sz w:val="24"/>
          <w:szCs w:val="24"/>
        </w:rPr>
        <w:t>文件获取：</w:t>
      </w:r>
    </w:p>
    <w:p>
      <w:pPr>
        <w:widowControl/>
        <w:spacing w:line="360" w:lineRule="auto"/>
        <w:ind w:firstLine="480" w:firstLineChars="200"/>
        <w:textAlignment w:val="baseline"/>
        <w:rPr>
          <w:sz w:val="24"/>
          <w:szCs w:val="24"/>
          <w:lang w:val="en-US"/>
        </w:rPr>
      </w:pPr>
      <w:r>
        <w:rPr>
          <w:rFonts w:hint="eastAsia"/>
          <w:sz w:val="24"/>
          <w:szCs w:val="24"/>
        </w:rPr>
        <w:t>符合招标条件的供应商如决定参与投标，请登录南通市海门区人民政府网下载</w:t>
      </w:r>
      <w:r>
        <w:rPr>
          <w:rFonts w:hint="eastAsia"/>
          <w:sz w:val="24"/>
          <w:szCs w:val="24"/>
          <w:lang w:val="en-US"/>
        </w:rPr>
        <w:t>。</w:t>
      </w:r>
    </w:p>
    <w:p>
      <w:pPr>
        <w:widowControl/>
        <w:spacing w:line="360" w:lineRule="auto"/>
        <w:ind w:firstLine="480" w:firstLineChars="200"/>
        <w:textAlignment w:val="baseline"/>
        <w:rPr>
          <w:sz w:val="24"/>
          <w:szCs w:val="24"/>
        </w:rPr>
      </w:pPr>
      <w:r>
        <w:rPr>
          <w:rFonts w:hint="eastAsia"/>
          <w:sz w:val="24"/>
          <w:szCs w:val="24"/>
        </w:rPr>
        <w:t>六、投标截止及开标时间：202</w:t>
      </w:r>
      <w:r>
        <w:rPr>
          <w:rFonts w:hint="eastAsia"/>
          <w:sz w:val="24"/>
          <w:szCs w:val="24"/>
          <w:lang w:val="en-US"/>
        </w:rPr>
        <w:t>4</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16</w:t>
      </w:r>
      <w:r>
        <w:rPr>
          <w:rFonts w:hint="eastAsia"/>
          <w:sz w:val="24"/>
          <w:szCs w:val="24"/>
        </w:rPr>
        <w:t>日</w:t>
      </w:r>
      <w:r>
        <w:rPr>
          <w:rFonts w:hint="eastAsia"/>
          <w:sz w:val="24"/>
          <w:szCs w:val="24"/>
          <w:lang w:val="en-US"/>
        </w:rPr>
        <w:t>上</w:t>
      </w:r>
      <w:r>
        <w:rPr>
          <w:rFonts w:hint="eastAsia"/>
          <w:sz w:val="24"/>
          <w:szCs w:val="24"/>
        </w:rPr>
        <w:t>午09时30分（北京时间）</w:t>
      </w:r>
    </w:p>
    <w:p>
      <w:pPr>
        <w:widowControl/>
        <w:spacing w:line="360" w:lineRule="auto"/>
        <w:ind w:firstLine="480" w:firstLineChars="200"/>
        <w:textAlignment w:val="baseline"/>
        <w:rPr>
          <w:sz w:val="24"/>
          <w:szCs w:val="24"/>
          <w:lang w:val="en-US"/>
        </w:rPr>
      </w:pPr>
      <w:r>
        <w:rPr>
          <w:rFonts w:hint="eastAsia"/>
          <w:sz w:val="24"/>
          <w:szCs w:val="24"/>
        </w:rPr>
        <w:t>七、递交投标文件、开标地点：南通市海门区嘉陵江路1588号指挥中心</w:t>
      </w:r>
      <w:r>
        <w:rPr>
          <w:rFonts w:hint="eastAsia"/>
          <w:sz w:val="24"/>
          <w:szCs w:val="24"/>
          <w:lang w:val="en-US" w:eastAsia="zh-CN"/>
        </w:rPr>
        <w:t>5楼</w:t>
      </w:r>
      <w:r>
        <w:rPr>
          <w:rFonts w:hint="eastAsia"/>
          <w:sz w:val="24"/>
          <w:szCs w:val="24"/>
        </w:rPr>
        <w:t>511</w:t>
      </w:r>
      <w:r>
        <w:rPr>
          <w:rFonts w:hint="eastAsia"/>
          <w:sz w:val="24"/>
          <w:szCs w:val="24"/>
          <w:lang w:val="en-US"/>
        </w:rPr>
        <w:t>会议室</w:t>
      </w:r>
    </w:p>
    <w:p>
      <w:pPr>
        <w:widowControl/>
        <w:spacing w:line="360" w:lineRule="auto"/>
        <w:ind w:firstLine="480" w:firstLineChars="200"/>
        <w:textAlignment w:val="baseline"/>
        <w:rPr>
          <w:sz w:val="24"/>
          <w:szCs w:val="24"/>
        </w:rPr>
      </w:pPr>
      <w:r>
        <w:rPr>
          <w:rFonts w:hint="eastAsia"/>
          <w:sz w:val="24"/>
          <w:szCs w:val="24"/>
        </w:rPr>
        <w:t>八、联系方式：</w:t>
      </w:r>
      <w:r>
        <w:rPr>
          <w:rFonts w:hint="eastAsia"/>
          <w:sz w:val="24"/>
          <w:szCs w:val="24"/>
        </w:rPr>
        <w:tab/>
      </w:r>
    </w:p>
    <w:p>
      <w:pPr>
        <w:tabs>
          <w:tab w:val="left" w:pos="4193"/>
        </w:tabs>
        <w:spacing w:before="2" w:line="360" w:lineRule="auto"/>
        <w:ind w:right="3430" w:firstLine="600" w:firstLineChars="250"/>
        <w:rPr>
          <w:rFonts w:asciiTheme="minorEastAsia" w:hAnsiTheme="minorEastAsia" w:eastAsiaTheme="minorEastAsia"/>
          <w:sz w:val="24"/>
          <w:lang w:val="en-US"/>
        </w:rPr>
      </w:pPr>
      <w:r>
        <w:rPr>
          <w:rFonts w:asciiTheme="minorEastAsia" w:hAnsiTheme="minorEastAsia" w:eastAsiaTheme="minorEastAsia"/>
          <w:sz w:val="24"/>
        </w:rPr>
        <w:t>联系人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陈</w:t>
      </w:r>
      <w:r>
        <w:rPr>
          <w:rFonts w:hint="eastAsia" w:asciiTheme="minorEastAsia" w:hAnsiTheme="minorEastAsia" w:eastAsiaTheme="minorEastAsia"/>
          <w:sz w:val="24"/>
        </w:rPr>
        <w:t>先生</w:t>
      </w:r>
      <w:r>
        <w:rPr>
          <w:rFonts w:asciiTheme="minorEastAsia" w:hAnsiTheme="minorEastAsia" w:eastAsiaTheme="minorEastAsia"/>
          <w:sz w:val="24"/>
        </w:rPr>
        <w:tab/>
      </w:r>
      <w:r>
        <w:rPr>
          <w:rFonts w:asciiTheme="minorEastAsia" w:hAnsiTheme="minorEastAsia" w:eastAsiaTheme="minorEastAsia"/>
          <w:spacing w:val="-1"/>
          <w:sz w:val="24"/>
        </w:rPr>
        <w:t>联</w:t>
      </w:r>
      <w:r>
        <w:rPr>
          <w:rFonts w:asciiTheme="minorEastAsia" w:hAnsiTheme="minorEastAsia" w:eastAsiaTheme="minorEastAsia"/>
          <w:sz w:val="24"/>
        </w:rPr>
        <w:t>系电话：</w:t>
      </w:r>
      <w:r>
        <w:rPr>
          <w:rFonts w:hint="eastAsia" w:asciiTheme="minorEastAsia" w:hAnsiTheme="minorEastAsia" w:eastAsiaTheme="minorEastAsia"/>
          <w:sz w:val="24"/>
          <w:lang w:val="en-US"/>
        </w:rPr>
        <w:t>0513-82399020</w:t>
      </w:r>
    </w:p>
    <w:p>
      <w:pPr>
        <w:tabs>
          <w:tab w:val="left" w:pos="4193"/>
        </w:tabs>
        <w:spacing w:before="2" w:line="360" w:lineRule="auto"/>
        <w:ind w:left="110" w:leftChars="50" w:right="3430" w:firstLine="480" w:firstLineChars="200"/>
        <w:rPr>
          <w:rFonts w:asciiTheme="minorEastAsia" w:hAnsiTheme="minorEastAsia" w:eastAsiaTheme="minorEastAsia"/>
          <w:b/>
          <w:sz w:val="24"/>
        </w:rPr>
      </w:pPr>
      <w:r>
        <w:rPr>
          <w:rFonts w:asciiTheme="minorEastAsia" w:hAnsiTheme="minorEastAsia" w:eastAsiaTheme="minorEastAsia"/>
          <w:sz w:val="24"/>
        </w:rPr>
        <w:t xml:space="preserve"> </w:t>
      </w:r>
      <w:r>
        <w:rPr>
          <w:rFonts w:asciiTheme="minorEastAsia" w:hAnsiTheme="minorEastAsia" w:eastAsiaTheme="minorEastAsia"/>
          <w:b/>
          <w:sz w:val="24"/>
        </w:rPr>
        <w:t>友情提醒：</w:t>
      </w:r>
    </w:p>
    <w:p>
      <w:pPr>
        <w:spacing w:before="5" w:line="266" w:lineRule="auto"/>
        <w:ind w:left="472" w:right="429"/>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请各供应商连续关注本网站可能发生的相关变化等信息。如没有及时获悉相关变化而引起的后果由供应商自负。</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请各供应商认真阅读招标文件，严格遵守时间、资料提供等相关约定。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pacing w:val="-7"/>
          <w:sz w:val="24"/>
        </w:rPr>
        <w:t>、</w:t>
      </w:r>
      <w:r>
        <w:rPr>
          <w:rFonts w:asciiTheme="minorEastAsia" w:hAnsiTheme="minorEastAsia" w:eastAsiaTheme="minorEastAsia"/>
          <w:spacing w:val="-7"/>
          <w:sz w:val="24"/>
        </w:rPr>
        <w:t>请各供应商认真对照资格要求，如不符合要求，无意或故意参与报名、投标所产生</w:t>
      </w:r>
      <w:r>
        <w:rPr>
          <w:rFonts w:asciiTheme="minorEastAsia" w:hAnsiTheme="minorEastAsia" w:eastAsiaTheme="minorEastAsia"/>
          <w:sz w:val="24"/>
        </w:rPr>
        <w:t>的一切后果由供应商自行承担。</w:t>
      </w:r>
    </w:p>
    <w:p>
      <w:pPr>
        <w:spacing w:before="20"/>
        <w:rPr>
          <w:rFonts w:asciiTheme="minorEastAsia" w:hAnsiTheme="minorEastAsia" w:eastAsiaTheme="minorEastAsia"/>
          <w:b/>
          <w:sz w:val="44"/>
        </w:rPr>
      </w:pPr>
    </w:p>
    <w:p>
      <w:pPr>
        <w:spacing w:before="20"/>
        <w:ind w:left="9"/>
        <w:jc w:val="center"/>
        <w:rPr>
          <w:rFonts w:asciiTheme="minorEastAsia" w:hAnsiTheme="minorEastAsia" w:eastAsiaTheme="minorEastAsia"/>
          <w:b/>
          <w:sz w:val="44"/>
        </w:rPr>
      </w:pPr>
      <w:r>
        <w:rPr>
          <w:rFonts w:asciiTheme="minorEastAsia" w:hAnsiTheme="minorEastAsia" w:eastAsiaTheme="minorEastAsia"/>
          <w:b/>
          <w:sz w:val="44"/>
        </w:rPr>
        <w:t>第二部分 采购项目需求</w:t>
      </w:r>
    </w:p>
    <w:p>
      <w:pPr>
        <w:spacing w:line="360" w:lineRule="auto"/>
        <w:jc w:val="center"/>
        <w:rPr>
          <w:rFonts w:asciiTheme="minorEastAsia" w:hAnsiTheme="minorEastAsia" w:eastAsiaTheme="minorEastAsia"/>
          <w:spacing w:val="-7"/>
          <w:sz w:val="24"/>
        </w:rPr>
      </w:pPr>
    </w:p>
    <w:p>
      <w:pPr>
        <w:spacing w:line="360" w:lineRule="auto"/>
        <w:jc w:val="center"/>
        <w:rPr>
          <w:rFonts w:asciiTheme="minorEastAsia" w:hAnsiTheme="minorEastAsia" w:eastAsiaTheme="minorEastAsia"/>
          <w:b/>
          <w:spacing w:val="-7"/>
          <w:sz w:val="24"/>
        </w:rPr>
      </w:pPr>
      <w:r>
        <w:rPr>
          <w:rFonts w:hint="eastAsia" w:asciiTheme="minorEastAsia" w:hAnsiTheme="minorEastAsia" w:eastAsiaTheme="minorEastAsia"/>
          <w:spacing w:val="-7"/>
          <w:sz w:val="24"/>
        </w:rPr>
        <w:t>第一章 采购项目内容</w:t>
      </w:r>
    </w:p>
    <w:p>
      <w:pPr>
        <w:spacing w:line="360" w:lineRule="auto"/>
        <w:ind w:firstLine="600" w:firstLineChars="250"/>
        <w:rPr>
          <w:sz w:val="24"/>
          <w:szCs w:val="24"/>
        </w:rPr>
      </w:pPr>
      <w:r>
        <w:rPr>
          <w:rFonts w:hint="eastAsia"/>
          <w:sz w:val="24"/>
          <w:szCs w:val="24"/>
        </w:rPr>
        <w:t>一、项目概况：</w:t>
      </w:r>
    </w:p>
    <w:p>
      <w:pPr>
        <w:widowControl/>
        <w:spacing w:line="360" w:lineRule="auto"/>
        <w:ind w:firstLine="480" w:firstLineChars="200"/>
        <w:rPr>
          <w:sz w:val="24"/>
          <w:szCs w:val="24"/>
        </w:rPr>
      </w:pPr>
      <w:r>
        <w:rPr>
          <w:rFonts w:hint="eastAsia"/>
          <w:sz w:val="24"/>
          <w:szCs w:val="24"/>
        </w:rPr>
        <w:t>为落实《网络安全法》第二十一条第三款“网络运营者应当按照网络安全等级保护制度的要求”，南通市海门区区域治理现代化指挥中心决定对单位信息系统进行网络安全等级保护测评，以明确信息系统现状，发现系统内部存在的安全隐患和不足，明确整改方向，降低系统被攻击的风险。</w:t>
      </w:r>
    </w:p>
    <w:p>
      <w:pPr>
        <w:spacing w:line="360" w:lineRule="auto"/>
        <w:ind w:firstLine="600" w:firstLineChars="250"/>
        <w:rPr>
          <w:sz w:val="24"/>
          <w:szCs w:val="24"/>
        </w:rPr>
      </w:pPr>
      <w:r>
        <w:rPr>
          <w:rFonts w:hint="eastAsia"/>
          <w:sz w:val="24"/>
          <w:szCs w:val="24"/>
        </w:rPr>
        <w:t>二、</w:t>
      </w:r>
      <w:r>
        <w:rPr>
          <w:rFonts w:hint="eastAsia"/>
          <w:sz w:val="24"/>
        </w:rPr>
        <w:t>项目测评范围</w:t>
      </w:r>
      <w:r>
        <w:rPr>
          <w:rFonts w:hint="eastAsia"/>
          <w:sz w:val="24"/>
          <w:szCs w:val="24"/>
        </w:rPr>
        <w:t>：</w:t>
      </w:r>
    </w:p>
    <w:tbl>
      <w:tblPr>
        <w:tblStyle w:val="2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12"/>
        <w:gridCol w:w="1493"/>
        <w:gridCol w:w="124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7" w:type="dxa"/>
            <w:vAlign w:val="center"/>
          </w:tcPr>
          <w:p>
            <w:pPr>
              <w:spacing w:line="276" w:lineRule="auto"/>
              <w:jc w:val="center"/>
              <w:rPr>
                <w:rFonts w:cs="仿宋"/>
                <w:sz w:val="24"/>
                <w:szCs w:val="24"/>
              </w:rPr>
            </w:pPr>
            <w:r>
              <w:rPr>
                <w:rFonts w:hint="eastAsia" w:cs="仿宋"/>
                <w:sz w:val="24"/>
                <w:szCs w:val="24"/>
              </w:rPr>
              <w:t>序号</w:t>
            </w:r>
          </w:p>
        </w:tc>
        <w:tc>
          <w:tcPr>
            <w:tcW w:w="4312" w:type="dxa"/>
            <w:vAlign w:val="center"/>
          </w:tcPr>
          <w:p>
            <w:pPr>
              <w:spacing w:line="276" w:lineRule="auto"/>
              <w:jc w:val="center"/>
              <w:rPr>
                <w:rFonts w:cs="仿宋"/>
                <w:sz w:val="24"/>
                <w:szCs w:val="24"/>
              </w:rPr>
            </w:pPr>
            <w:r>
              <w:rPr>
                <w:rFonts w:hint="eastAsia" w:cs="仿宋"/>
                <w:sz w:val="24"/>
                <w:szCs w:val="24"/>
              </w:rPr>
              <w:t>系统名称</w:t>
            </w:r>
          </w:p>
        </w:tc>
        <w:tc>
          <w:tcPr>
            <w:tcW w:w="1493" w:type="dxa"/>
            <w:vAlign w:val="center"/>
          </w:tcPr>
          <w:p>
            <w:pPr>
              <w:spacing w:line="276" w:lineRule="auto"/>
              <w:jc w:val="center"/>
              <w:rPr>
                <w:rFonts w:cs="仿宋"/>
                <w:sz w:val="24"/>
                <w:szCs w:val="24"/>
              </w:rPr>
            </w:pPr>
            <w:r>
              <w:rPr>
                <w:rFonts w:hint="eastAsia" w:cs="仿宋"/>
                <w:sz w:val="24"/>
                <w:szCs w:val="24"/>
              </w:rPr>
              <w:t>系统数量</w:t>
            </w:r>
          </w:p>
        </w:tc>
        <w:tc>
          <w:tcPr>
            <w:tcW w:w="1245" w:type="dxa"/>
            <w:vAlign w:val="center"/>
          </w:tcPr>
          <w:p>
            <w:pPr>
              <w:spacing w:line="276" w:lineRule="auto"/>
              <w:jc w:val="center"/>
              <w:rPr>
                <w:rFonts w:cs="仿宋"/>
                <w:sz w:val="24"/>
                <w:szCs w:val="24"/>
              </w:rPr>
            </w:pPr>
            <w:r>
              <w:rPr>
                <w:rFonts w:hint="eastAsia" w:cs="仿宋"/>
                <w:sz w:val="24"/>
                <w:szCs w:val="24"/>
              </w:rPr>
              <w:t>备案情况</w:t>
            </w:r>
          </w:p>
        </w:tc>
        <w:tc>
          <w:tcPr>
            <w:tcW w:w="1689" w:type="dxa"/>
            <w:vAlign w:val="center"/>
          </w:tcPr>
          <w:p>
            <w:pPr>
              <w:spacing w:line="276" w:lineRule="auto"/>
              <w:jc w:val="center"/>
              <w:rPr>
                <w:rFonts w:cs="仿宋"/>
                <w:sz w:val="24"/>
                <w:szCs w:val="24"/>
              </w:rPr>
            </w:pPr>
            <w:r>
              <w:rPr>
                <w:rFonts w:hint="eastAsia"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7" w:type="dxa"/>
            <w:vAlign w:val="center"/>
          </w:tcPr>
          <w:p>
            <w:pPr>
              <w:pStyle w:val="29"/>
              <w:spacing w:line="276" w:lineRule="auto"/>
              <w:jc w:val="center"/>
              <w:rPr>
                <w:rFonts w:cs="仿宋"/>
                <w:b/>
                <w:sz w:val="24"/>
                <w:szCs w:val="24"/>
                <w:lang w:val="en-US"/>
              </w:rPr>
            </w:pPr>
            <w:r>
              <w:rPr>
                <w:rFonts w:hint="eastAsia" w:cs="仿宋"/>
                <w:b/>
                <w:sz w:val="24"/>
                <w:szCs w:val="24"/>
                <w:lang w:val="en-US"/>
              </w:rPr>
              <w:t>11</w:t>
            </w:r>
          </w:p>
        </w:tc>
        <w:tc>
          <w:tcPr>
            <w:tcW w:w="4312" w:type="dxa"/>
            <w:vAlign w:val="center"/>
          </w:tcPr>
          <w:p>
            <w:pPr>
              <w:spacing w:line="276" w:lineRule="auto"/>
              <w:jc w:val="center"/>
              <w:rPr>
                <w:rFonts w:cs="仿宋"/>
                <w:b/>
                <w:sz w:val="24"/>
                <w:szCs w:val="24"/>
              </w:rPr>
            </w:pPr>
            <w:r>
              <w:rPr>
                <w:rFonts w:hint="eastAsia" w:cs="仿宋"/>
                <w:b/>
                <w:sz w:val="24"/>
                <w:szCs w:val="24"/>
              </w:rPr>
              <w:t>海门</w:t>
            </w:r>
            <w:r>
              <w:rPr>
                <w:rFonts w:hint="eastAsia" w:cs="仿宋"/>
                <w:b/>
                <w:sz w:val="24"/>
                <w:szCs w:val="24"/>
                <w:lang w:val="en-US"/>
              </w:rPr>
              <w:t>区全景全域指挥调度平台</w:t>
            </w:r>
          </w:p>
        </w:tc>
        <w:tc>
          <w:tcPr>
            <w:tcW w:w="1493" w:type="dxa"/>
            <w:vAlign w:val="center"/>
          </w:tcPr>
          <w:p>
            <w:pPr>
              <w:spacing w:line="276" w:lineRule="auto"/>
              <w:jc w:val="center"/>
              <w:rPr>
                <w:rFonts w:cs="仿宋"/>
                <w:b/>
                <w:sz w:val="24"/>
                <w:szCs w:val="24"/>
              </w:rPr>
            </w:pPr>
            <w:r>
              <w:rPr>
                <w:rFonts w:hint="eastAsia" w:cs="仿宋"/>
                <w:b/>
                <w:sz w:val="24"/>
                <w:szCs w:val="24"/>
                <w:lang w:val="en-US"/>
              </w:rPr>
              <w:t>1</w:t>
            </w:r>
            <w:r>
              <w:rPr>
                <w:rFonts w:hint="eastAsia" w:cs="仿宋"/>
                <w:b/>
                <w:sz w:val="24"/>
                <w:szCs w:val="24"/>
              </w:rPr>
              <w:t>个</w:t>
            </w:r>
          </w:p>
        </w:tc>
        <w:tc>
          <w:tcPr>
            <w:tcW w:w="1245" w:type="dxa"/>
            <w:vAlign w:val="center"/>
          </w:tcPr>
          <w:p>
            <w:pPr>
              <w:spacing w:line="276" w:lineRule="auto"/>
              <w:jc w:val="center"/>
              <w:rPr>
                <w:rFonts w:cs="仿宋"/>
                <w:b/>
                <w:sz w:val="24"/>
                <w:szCs w:val="24"/>
              </w:rPr>
            </w:pPr>
            <w:r>
              <w:rPr>
                <w:rFonts w:hint="eastAsia" w:cs="仿宋"/>
                <w:b/>
                <w:sz w:val="24"/>
                <w:szCs w:val="24"/>
              </w:rPr>
              <w:t>三级</w:t>
            </w:r>
          </w:p>
        </w:tc>
        <w:tc>
          <w:tcPr>
            <w:tcW w:w="1689" w:type="dxa"/>
            <w:vAlign w:val="center"/>
          </w:tcPr>
          <w:p>
            <w:pPr>
              <w:spacing w:line="276" w:lineRule="auto"/>
              <w:jc w:val="center"/>
              <w:rPr>
                <w:rFonts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7" w:type="dxa"/>
            <w:vAlign w:val="center"/>
          </w:tcPr>
          <w:p>
            <w:pPr>
              <w:pStyle w:val="29"/>
              <w:spacing w:line="276" w:lineRule="auto"/>
              <w:jc w:val="center"/>
              <w:rPr>
                <w:rFonts w:cs="仿宋"/>
                <w:b/>
                <w:sz w:val="24"/>
                <w:szCs w:val="24"/>
                <w:lang w:val="en-US"/>
              </w:rPr>
            </w:pPr>
            <w:r>
              <w:rPr>
                <w:rFonts w:hint="eastAsia" w:cs="仿宋"/>
                <w:b/>
                <w:sz w:val="24"/>
                <w:szCs w:val="24"/>
                <w:lang w:val="en-US"/>
              </w:rPr>
              <w:t>22</w:t>
            </w:r>
          </w:p>
        </w:tc>
        <w:tc>
          <w:tcPr>
            <w:tcW w:w="4312" w:type="dxa"/>
            <w:vAlign w:val="center"/>
          </w:tcPr>
          <w:p>
            <w:pPr>
              <w:spacing w:line="276" w:lineRule="auto"/>
              <w:jc w:val="center"/>
              <w:rPr>
                <w:rFonts w:cs="仿宋"/>
                <w:b/>
                <w:sz w:val="24"/>
                <w:szCs w:val="24"/>
                <w:lang w:val="en-US"/>
              </w:rPr>
            </w:pPr>
            <w:r>
              <w:rPr>
                <w:rFonts w:hint="eastAsia" w:cs="仿宋"/>
                <w:b/>
                <w:sz w:val="24"/>
                <w:szCs w:val="24"/>
                <w:lang w:val="en-US"/>
              </w:rPr>
              <w:t>海门区政务服务总客服系统</w:t>
            </w:r>
          </w:p>
        </w:tc>
        <w:tc>
          <w:tcPr>
            <w:tcW w:w="1493" w:type="dxa"/>
            <w:vAlign w:val="center"/>
          </w:tcPr>
          <w:p>
            <w:pPr>
              <w:spacing w:line="276" w:lineRule="auto"/>
              <w:jc w:val="center"/>
              <w:rPr>
                <w:rFonts w:cs="仿宋"/>
                <w:b/>
                <w:sz w:val="24"/>
                <w:szCs w:val="24"/>
                <w:lang w:val="en-US"/>
              </w:rPr>
            </w:pPr>
            <w:r>
              <w:rPr>
                <w:rFonts w:hint="eastAsia" w:cs="仿宋"/>
                <w:b/>
                <w:sz w:val="24"/>
                <w:szCs w:val="24"/>
                <w:lang w:val="en-US"/>
              </w:rPr>
              <w:t>1个</w:t>
            </w:r>
          </w:p>
        </w:tc>
        <w:tc>
          <w:tcPr>
            <w:tcW w:w="1245" w:type="dxa"/>
            <w:vAlign w:val="center"/>
          </w:tcPr>
          <w:p>
            <w:pPr>
              <w:spacing w:line="276" w:lineRule="auto"/>
              <w:jc w:val="center"/>
              <w:rPr>
                <w:rFonts w:cs="仿宋"/>
                <w:b/>
                <w:sz w:val="24"/>
                <w:szCs w:val="24"/>
                <w:lang w:val="en-US"/>
              </w:rPr>
            </w:pPr>
            <w:r>
              <w:rPr>
                <w:rFonts w:hint="eastAsia" w:cs="仿宋"/>
                <w:b/>
                <w:sz w:val="24"/>
                <w:szCs w:val="24"/>
                <w:lang w:val="en-US"/>
              </w:rPr>
              <w:t>三级</w:t>
            </w:r>
          </w:p>
        </w:tc>
        <w:tc>
          <w:tcPr>
            <w:tcW w:w="1689" w:type="dxa"/>
            <w:vAlign w:val="center"/>
          </w:tcPr>
          <w:p>
            <w:pPr>
              <w:spacing w:line="276" w:lineRule="auto"/>
              <w:jc w:val="center"/>
              <w:rPr>
                <w:rFonts w:cs="仿宋"/>
                <w:b/>
                <w:sz w:val="24"/>
                <w:szCs w:val="24"/>
              </w:rPr>
            </w:pPr>
          </w:p>
        </w:tc>
      </w:tr>
    </w:tbl>
    <w:p>
      <w:pPr>
        <w:spacing w:line="360" w:lineRule="auto"/>
        <w:ind w:firstLine="562" w:firstLineChars="200"/>
        <w:jc w:val="center"/>
        <w:outlineLvl w:val="0"/>
        <w:rPr>
          <w:b/>
          <w:color w:val="000000"/>
          <w:sz w:val="28"/>
          <w:szCs w:val="28"/>
          <w:lang w:val="en-US"/>
        </w:rPr>
      </w:pPr>
      <w:r>
        <w:rPr>
          <w:rFonts w:hint="eastAsia"/>
          <w:b/>
          <w:color w:val="000000"/>
          <w:sz w:val="28"/>
          <w:szCs w:val="28"/>
          <w:lang w:val="en-US"/>
        </w:rPr>
        <w:t xml:space="preserve"> </w:t>
      </w:r>
    </w:p>
    <w:p>
      <w:pPr>
        <w:spacing w:line="360" w:lineRule="auto"/>
        <w:ind w:firstLine="480" w:firstLineChars="200"/>
        <w:rPr>
          <w:sz w:val="24"/>
          <w:szCs w:val="24"/>
        </w:rPr>
      </w:pPr>
      <w:r>
        <w:rPr>
          <w:rFonts w:hint="eastAsia"/>
          <w:sz w:val="24"/>
          <w:szCs w:val="24"/>
        </w:rPr>
        <w:t>三、测评内容：</w:t>
      </w:r>
    </w:p>
    <w:p>
      <w:pPr>
        <w:spacing w:line="360" w:lineRule="auto"/>
        <w:ind w:firstLine="480" w:firstLineChars="200"/>
        <w:rPr>
          <w:sz w:val="24"/>
          <w:szCs w:val="24"/>
        </w:rPr>
      </w:pPr>
      <w:r>
        <w:rPr>
          <w:rFonts w:hint="eastAsia"/>
          <w:sz w:val="24"/>
          <w:szCs w:val="24"/>
        </w:rPr>
        <w:t>1、总体要求：</w:t>
      </w:r>
    </w:p>
    <w:p>
      <w:pPr>
        <w:spacing w:line="360" w:lineRule="auto"/>
        <w:ind w:firstLine="480" w:firstLineChars="200"/>
        <w:rPr>
          <w:sz w:val="24"/>
          <w:szCs w:val="24"/>
        </w:rPr>
      </w:pPr>
      <w:r>
        <w:rPr>
          <w:rFonts w:hint="eastAsia"/>
          <w:sz w:val="24"/>
          <w:szCs w:val="24"/>
        </w:rPr>
        <w:t>A．完成上述系统安全等级测评工作，测评后经用户方确认，出具符合网络安全等级保护测评要求的测评报告；</w:t>
      </w:r>
    </w:p>
    <w:p>
      <w:pPr>
        <w:spacing w:line="360" w:lineRule="auto"/>
        <w:ind w:firstLine="480" w:firstLineChars="200"/>
        <w:rPr>
          <w:sz w:val="24"/>
          <w:szCs w:val="24"/>
        </w:rPr>
      </w:pPr>
      <w:r>
        <w:rPr>
          <w:rFonts w:hint="eastAsia"/>
          <w:sz w:val="24"/>
          <w:szCs w:val="24"/>
        </w:rPr>
        <w:t>B．对上述系统不符合网络安全等级保护有关管理规范和技术标准的，提出可行性整改方案，提供相应的安全整改建议书。</w:t>
      </w:r>
    </w:p>
    <w:p>
      <w:pPr>
        <w:spacing w:line="360" w:lineRule="auto"/>
        <w:ind w:firstLine="480" w:firstLineChars="200"/>
        <w:rPr>
          <w:sz w:val="24"/>
          <w:szCs w:val="24"/>
        </w:rPr>
      </w:pPr>
      <w:r>
        <w:rPr>
          <w:rFonts w:hint="eastAsia"/>
          <w:sz w:val="24"/>
          <w:szCs w:val="24"/>
        </w:rPr>
        <w:t>2、质量要求：</w:t>
      </w:r>
    </w:p>
    <w:p>
      <w:pPr>
        <w:spacing w:line="360" w:lineRule="auto"/>
        <w:ind w:firstLine="480" w:firstLineChars="200"/>
        <w:rPr>
          <w:sz w:val="24"/>
          <w:szCs w:val="24"/>
        </w:rPr>
      </w:pPr>
      <w:r>
        <w:rPr>
          <w:rFonts w:hint="eastAsia"/>
          <w:sz w:val="24"/>
          <w:szCs w:val="24"/>
        </w:rPr>
        <w:t>A．等级测评及服务原则：符合性原则、标准性原则、规范性原则、可控性原则、整体性原则。</w:t>
      </w:r>
    </w:p>
    <w:p>
      <w:pPr>
        <w:spacing w:line="360" w:lineRule="auto"/>
        <w:ind w:firstLine="480" w:firstLineChars="200"/>
        <w:rPr>
          <w:sz w:val="24"/>
          <w:szCs w:val="24"/>
        </w:rPr>
      </w:pPr>
      <w:r>
        <w:rPr>
          <w:rFonts w:hint="eastAsia"/>
          <w:sz w:val="24"/>
          <w:szCs w:val="24"/>
        </w:rPr>
        <w:t>B．网络安全等级保护定级及测评服务依据：</w:t>
      </w:r>
    </w:p>
    <w:p>
      <w:pPr>
        <w:spacing w:line="360" w:lineRule="auto"/>
        <w:ind w:firstLine="480" w:firstLineChars="200"/>
        <w:rPr>
          <w:sz w:val="24"/>
          <w:szCs w:val="24"/>
        </w:rPr>
      </w:pPr>
      <w:r>
        <w:rPr>
          <w:rFonts w:hint="eastAsia"/>
          <w:sz w:val="24"/>
          <w:szCs w:val="24"/>
        </w:rPr>
        <w:t>《中华人民共和国网络安全法》，</w:t>
      </w:r>
    </w:p>
    <w:p>
      <w:pPr>
        <w:spacing w:line="360" w:lineRule="auto"/>
        <w:ind w:firstLine="480" w:firstLineChars="200"/>
        <w:rPr>
          <w:sz w:val="24"/>
          <w:szCs w:val="24"/>
        </w:rPr>
      </w:pPr>
      <w:r>
        <w:rPr>
          <w:rFonts w:hint="eastAsia"/>
          <w:sz w:val="24"/>
          <w:szCs w:val="24"/>
        </w:rPr>
        <w:t>《GB/T22239-2019信息安全技术 网络安全等级保护基本要求》，</w:t>
      </w:r>
    </w:p>
    <w:p>
      <w:pPr>
        <w:spacing w:line="360" w:lineRule="auto"/>
        <w:ind w:firstLine="480" w:firstLineChars="200"/>
        <w:rPr>
          <w:sz w:val="24"/>
          <w:szCs w:val="24"/>
        </w:rPr>
      </w:pPr>
      <w:r>
        <w:rPr>
          <w:rFonts w:hint="eastAsia"/>
          <w:sz w:val="24"/>
          <w:szCs w:val="24"/>
        </w:rPr>
        <w:t>《GB/T28448-2019 信息安全技术 网络安全等级保护测评要求》，</w:t>
      </w:r>
    </w:p>
    <w:p>
      <w:pPr>
        <w:spacing w:line="360" w:lineRule="auto"/>
        <w:ind w:firstLine="480" w:firstLineChars="200"/>
        <w:rPr>
          <w:sz w:val="24"/>
          <w:szCs w:val="24"/>
        </w:rPr>
      </w:pPr>
      <w:r>
        <w:rPr>
          <w:rFonts w:hint="eastAsia"/>
          <w:sz w:val="24"/>
          <w:szCs w:val="24"/>
        </w:rPr>
        <w:t>《GB/T 28449-2018 信息安全技术 网络安全等级保护测评过程指南》，</w:t>
      </w:r>
    </w:p>
    <w:p>
      <w:pPr>
        <w:spacing w:line="360" w:lineRule="auto"/>
        <w:ind w:firstLine="480" w:firstLineChars="200"/>
        <w:rPr>
          <w:sz w:val="24"/>
          <w:szCs w:val="24"/>
        </w:rPr>
      </w:pPr>
      <w:r>
        <w:rPr>
          <w:rFonts w:hint="eastAsia"/>
          <w:sz w:val="24"/>
          <w:szCs w:val="24"/>
        </w:rPr>
        <w:t>《GB/T 25058-2019 信息安全技术 网络安全等级保护实施指南》。</w:t>
      </w:r>
    </w:p>
    <w:p>
      <w:pPr>
        <w:spacing w:line="360" w:lineRule="auto"/>
        <w:ind w:firstLine="480" w:firstLineChars="200"/>
        <w:rPr>
          <w:sz w:val="24"/>
          <w:szCs w:val="24"/>
        </w:rPr>
      </w:pPr>
      <w:r>
        <w:rPr>
          <w:rFonts w:hint="eastAsia"/>
          <w:sz w:val="24"/>
          <w:szCs w:val="24"/>
        </w:rPr>
        <w:t>3、网络安全等级保护测评内容：</w:t>
      </w:r>
    </w:p>
    <w:p>
      <w:pPr>
        <w:spacing w:line="360" w:lineRule="auto"/>
        <w:ind w:firstLine="480" w:firstLineChars="200"/>
        <w:rPr>
          <w:sz w:val="24"/>
          <w:szCs w:val="24"/>
        </w:rPr>
      </w:pPr>
      <w:r>
        <w:rPr>
          <w:rFonts w:hint="eastAsia"/>
          <w:sz w:val="24"/>
          <w:szCs w:val="24"/>
        </w:rPr>
        <w:t>A．安全技术测评：包括安全物理环境、安全区域边界、安全通信网络、安全计算环境和安全管理中心五个方面的安全测评；</w:t>
      </w:r>
    </w:p>
    <w:p>
      <w:pPr>
        <w:spacing w:line="360" w:lineRule="auto"/>
        <w:ind w:firstLine="480" w:firstLineChars="200"/>
        <w:rPr>
          <w:sz w:val="24"/>
          <w:szCs w:val="24"/>
        </w:rPr>
      </w:pPr>
      <w:r>
        <w:rPr>
          <w:rFonts w:hint="eastAsia"/>
          <w:sz w:val="24"/>
          <w:szCs w:val="24"/>
        </w:rPr>
        <w:t>B．安全管理测评：安全管理机构、安全管理制度、安全管理人员、安全建设管理和安全运维管理五个方面的安全控制测评</w:t>
      </w:r>
    </w:p>
    <w:p>
      <w:pPr>
        <w:spacing w:line="360" w:lineRule="auto"/>
        <w:ind w:firstLine="480" w:firstLineChars="200"/>
        <w:rPr>
          <w:sz w:val="24"/>
          <w:szCs w:val="24"/>
        </w:rPr>
      </w:pPr>
      <w:r>
        <w:rPr>
          <w:rFonts w:hint="eastAsia"/>
          <w:sz w:val="24"/>
          <w:szCs w:val="24"/>
        </w:rPr>
        <w:t>4、提供整改咨询服务，根据所测系统的最终测评报告，对系统现状提出安全整改建议并协助整改工作，以期达到整改目的。</w:t>
      </w:r>
    </w:p>
    <w:p>
      <w:pPr>
        <w:spacing w:line="360" w:lineRule="auto"/>
        <w:ind w:firstLine="480" w:firstLineChars="200"/>
        <w:rPr>
          <w:sz w:val="24"/>
          <w:szCs w:val="24"/>
        </w:rPr>
      </w:pPr>
      <w:r>
        <w:rPr>
          <w:rFonts w:hint="eastAsia"/>
          <w:sz w:val="24"/>
          <w:szCs w:val="24"/>
        </w:rPr>
        <w:t>四、测评原则：</w:t>
      </w:r>
    </w:p>
    <w:p>
      <w:pPr>
        <w:spacing w:line="360" w:lineRule="auto"/>
        <w:ind w:firstLine="480" w:firstLineChars="200"/>
        <w:rPr>
          <w:sz w:val="24"/>
          <w:szCs w:val="24"/>
        </w:rPr>
      </w:pPr>
      <w:r>
        <w:rPr>
          <w:rFonts w:hint="eastAsia"/>
          <w:sz w:val="24"/>
          <w:szCs w:val="24"/>
        </w:rPr>
        <w:t>1、客观性和公正性原则：</w:t>
      </w:r>
    </w:p>
    <w:p>
      <w:pPr>
        <w:spacing w:line="360" w:lineRule="auto"/>
        <w:ind w:firstLine="480" w:firstLineChars="200"/>
        <w:rPr>
          <w:sz w:val="24"/>
          <w:szCs w:val="24"/>
        </w:rPr>
      </w:pPr>
      <w:r>
        <w:rPr>
          <w:rFonts w:hint="eastAsia"/>
          <w:sz w:val="24"/>
          <w:szCs w:val="24"/>
        </w:rPr>
        <w:t>测评人员应当没有偏见，在最小主观判断情形下，按照评估双方相互认可的评估方案，基于明确定义的测评方式和解释，实施评估活动。</w:t>
      </w:r>
    </w:p>
    <w:p>
      <w:pPr>
        <w:spacing w:line="360" w:lineRule="auto"/>
        <w:ind w:firstLine="480" w:firstLineChars="200"/>
        <w:rPr>
          <w:sz w:val="24"/>
          <w:szCs w:val="24"/>
        </w:rPr>
      </w:pPr>
      <w:r>
        <w:rPr>
          <w:rFonts w:hint="eastAsia"/>
          <w:sz w:val="24"/>
          <w:szCs w:val="24"/>
        </w:rPr>
        <w:t>2、可重复性和可再现性原则：</w:t>
      </w:r>
    </w:p>
    <w:p>
      <w:pPr>
        <w:spacing w:line="360" w:lineRule="auto"/>
        <w:ind w:firstLine="480" w:firstLineChars="200"/>
        <w:rPr>
          <w:sz w:val="24"/>
          <w:szCs w:val="24"/>
        </w:rPr>
      </w:pPr>
      <w:r>
        <w:rPr>
          <w:rFonts w:hint="eastAsia"/>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sz w:val="24"/>
          <w:szCs w:val="24"/>
        </w:rPr>
      </w:pPr>
      <w:r>
        <w:rPr>
          <w:rFonts w:hint="eastAsia"/>
          <w:sz w:val="24"/>
          <w:szCs w:val="24"/>
        </w:rPr>
        <w:t>3、连续性原则：</w:t>
      </w:r>
    </w:p>
    <w:p>
      <w:pPr>
        <w:spacing w:line="360" w:lineRule="auto"/>
        <w:ind w:firstLine="480" w:firstLineChars="200"/>
        <w:rPr>
          <w:sz w:val="24"/>
          <w:szCs w:val="24"/>
        </w:rPr>
      </w:pPr>
      <w:r>
        <w:rPr>
          <w:rFonts w:hint="eastAsia"/>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80" w:firstLineChars="200"/>
        <w:rPr>
          <w:sz w:val="24"/>
          <w:szCs w:val="24"/>
        </w:rPr>
      </w:pPr>
      <w:r>
        <w:rPr>
          <w:rFonts w:hint="eastAsia"/>
          <w:sz w:val="24"/>
          <w:szCs w:val="24"/>
        </w:rPr>
        <w:t>4、扩展性原则：</w:t>
      </w:r>
    </w:p>
    <w:p>
      <w:pPr>
        <w:spacing w:line="360" w:lineRule="auto"/>
        <w:ind w:firstLine="480" w:firstLineChars="200"/>
        <w:rPr>
          <w:sz w:val="24"/>
          <w:szCs w:val="24"/>
        </w:rPr>
      </w:pPr>
      <w:r>
        <w:rPr>
          <w:rFonts w:hint="eastAsia"/>
          <w:sz w:val="24"/>
          <w:szCs w:val="24"/>
        </w:rPr>
        <w:t>在评估过程结束后，信息安全测评过程要保持扩展性，从扩展的属性上进一步加强测评结束后采购方的安全管理有效性和可用性。</w:t>
      </w:r>
    </w:p>
    <w:p>
      <w:pPr>
        <w:spacing w:line="360" w:lineRule="auto"/>
        <w:ind w:firstLine="480" w:firstLineChars="200"/>
        <w:rPr>
          <w:sz w:val="24"/>
          <w:szCs w:val="24"/>
        </w:rPr>
      </w:pPr>
      <w:r>
        <w:rPr>
          <w:rFonts w:hint="eastAsia"/>
          <w:sz w:val="24"/>
          <w:szCs w:val="24"/>
        </w:rPr>
        <w:t>5、保密原则：</w:t>
      </w:r>
    </w:p>
    <w:p>
      <w:pPr>
        <w:spacing w:line="360" w:lineRule="auto"/>
        <w:ind w:firstLine="480" w:firstLineChars="200"/>
        <w:rPr>
          <w:sz w:val="24"/>
          <w:szCs w:val="24"/>
        </w:rPr>
      </w:pPr>
      <w:r>
        <w:rPr>
          <w:rFonts w:hint="eastAsia"/>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sz w:val="24"/>
          <w:szCs w:val="24"/>
        </w:rPr>
      </w:pPr>
      <w:r>
        <w:rPr>
          <w:rFonts w:hint="eastAsia"/>
          <w:sz w:val="24"/>
          <w:szCs w:val="24"/>
        </w:rPr>
        <w:t>6、互动原则：</w:t>
      </w:r>
    </w:p>
    <w:p>
      <w:pPr>
        <w:spacing w:line="360" w:lineRule="auto"/>
        <w:ind w:firstLine="480" w:firstLineChars="200"/>
        <w:rPr>
          <w:sz w:val="24"/>
          <w:szCs w:val="24"/>
        </w:rPr>
      </w:pPr>
      <w:r>
        <w:rPr>
          <w:rFonts w:hint="eastAsia"/>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sz w:val="24"/>
          <w:szCs w:val="24"/>
        </w:rPr>
      </w:pPr>
      <w:r>
        <w:rPr>
          <w:rFonts w:hint="eastAsia"/>
          <w:sz w:val="24"/>
          <w:szCs w:val="24"/>
        </w:rPr>
        <w:t>7、最小影响原则：</w:t>
      </w:r>
    </w:p>
    <w:p>
      <w:pPr>
        <w:spacing w:line="360" w:lineRule="auto"/>
        <w:ind w:firstLine="480" w:firstLineChars="200"/>
        <w:rPr>
          <w:sz w:val="24"/>
          <w:szCs w:val="24"/>
        </w:rPr>
      </w:pPr>
      <w:r>
        <w:rPr>
          <w:rFonts w:hint="eastAsia"/>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sz w:val="24"/>
          <w:szCs w:val="24"/>
        </w:rPr>
      </w:pPr>
      <w:r>
        <w:rPr>
          <w:rFonts w:hint="eastAsia"/>
          <w:sz w:val="24"/>
          <w:szCs w:val="24"/>
        </w:rPr>
        <w:t>8、规范性原则：</w:t>
      </w:r>
    </w:p>
    <w:p>
      <w:pPr>
        <w:spacing w:line="360" w:lineRule="auto"/>
        <w:ind w:firstLine="480" w:firstLineChars="200"/>
        <w:rPr>
          <w:sz w:val="24"/>
          <w:szCs w:val="24"/>
        </w:rPr>
      </w:pPr>
      <w:r>
        <w:rPr>
          <w:rFonts w:hint="eastAsia"/>
          <w:sz w:val="24"/>
          <w:szCs w:val="24"/>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sz w:val="24"/>
          <w:szCs w:val="24"/>
        </w:rPr>
      </w:pPr>
      <w:r>
        <w:rPr>
          <w:rFonts w:hint="eastAsia"/>
          <w:sz w:val="24"/>
          <w:szCs w:val="24"/>
        </w:rPr>
        <w:t>9、质量保障原则：</w:t>
      </w:r>
    </w:p>
    <w:p>
      <w:pPr>
        <w:spacing w:line="360" w:lineRule="auto"/>
        <w:ind w:firstLine="480" w:firstLineChars="200"/>
        <w:rPr>
          <w:sz w:val="24"/>
          <w:szCs w:val="24"/>
        </w:rPr>
      </w:pPr>
      <w:r>
        <w:rPr>
          <w:rFonts w:hint="eastAsia"/>
          <w:sz w:val="24"/>
          <w:szCs w:val="24"/>
        </w:rPr>
        <w:t>在整个测评过程中，须特别重视项目质量管理。项目的实施将严格按照项目实施方案和流程进行，并由项目协调小组从中监督，控制项目的进度和质量。</w:t>
      </w:r>
    </w:p>
    <w:p>
      <w:pPr>
        <w:spacing w:line="360" w:lineRule="auto"/>
        <w:ind w:firstLine="562" w:firstLineChars="200"/>
        <w:jc w:val="center"/>
        <w:outlineLvl w:val="0"/>
        <w:rPr>
          <w:b/>
          <w:bCs/>
          <w:sz w:val="24"/>
          <w:szCs w:val="24"/>
        </w:rPr>
      </w:pPr>
      <w:r>
        <w:rPr>
          <w:rFonts w:hint="eastAsia"/>
          <w:b/>
          <w:color w:val="000000"/>
          <w:sz w:val="28"/>
          <w:szCs w:val="28"/>
        </w:rPr>
        <w:t>第二章 采购项目商务要求</w:t>
      </w:r>
    </w:p>
    <w:p>
      <w:pPr>
        <w:spacing w:line="360" w:lineRule="auto"/>
        <w:ind w:firstLine="482" w:firstLineChars="200"/>
        <w:outlineLvl w:val="0"/>
        <w:rPr>
          <w:b/>
          <w:bCs/>
          <w:sz w:val="24"/>
          <w:szCs w:val="24"/>
        </w:rPr>
      </w:pPr>
      <w:r>
        <w:rPr>
          <w:rFonts w:hint="eastAsia"/>
          <w:b/>
          <w:bCs/>
          <w:sz w:val="24"/>
          <w:szCs w:val="24"/>
        </w:rPr>
        <w:t>一、</w:t>
      </w:r>
      <w:r>
        <w:rPr>
          <w:rFonts w:hint="eastAsia"/>
          <w:sz w:val="24"/>
          <w:szCs w:val="24"/>
        </w:rPr>
        <w:t>测评时间要求及地点;</w:t>
      </w:r>
    </w:p>
    <w:p>
      <w:pPr>
        <w:adjustRightInd w:val="0"/>
        <w:spacing w:line="360" w:lineRule="auto"/>
        <w:ind w:firstLine="480" w:firstLineChars="200"/>
        <w:rPr>
          <w:sz w:val="24"/>
          <w:szCs w:val="24"/>
        </w:rPr>
      </w:pPr>
      <w:r>
        <w:rPr>
          <w:rFonts w:hint="eastAsia"/>
          <w:sz w:val="24"/>
          <w:szCs w:val="24"/>
        </w:rPr>
        <w:t>1、测评时间要求：按照被测单位要求，合同签订完毕一周内启动测评工作。</w:t>
      </w:r>
    </w:p>
    <w:p>
      <w:pPr>
        <w:adjustRightInd w:val="0"/>
        <w:spacing w:line="360" w:lineRule="auto"/>
        <w:ind w:firstLine="480" w:firstLineChars="200"/>
        <w:rPr>
          <w:sz w:val="24"/>
          <w:szCs w:val="24"/>
        </w:rPr>
      </w:pPr>
      <w:r>
        <w:rPr>
          <w:rFonts w:hint="eastAsia"/>
          <w:sz w:val="24"/>
          <w:szCs w:val="24"/>
        </w:rPr>
        <w:t>2、测评期限要求：签订合同后60天内完成网络安全等级保护测评并出具盖章报告，并完成备案。</w:t>
      </w:r>
    </w:p>
    <w:p>
      <w:pPr>
        <w:adjustRightInd w:val="0"/>
        <w:spacing w:line="360" w:lineRule="auto"/>
        <w:ind w:firstLine="480" w:firstLineChars="200"/>
        <w:rPr>
          <w:sz w:val="24"/>
          <w:szCs w:val="24"/>
        </w:rPr>
      </w:pPr>
      <w:r>
        <w:rPr>
          <w:rFonts w:hint="eastAsia"/>
          <w:sz w:val="24"/>
          <w:szCs w:val="24"/>
        </w:rPr>
        <w:t>3、服务地点：采购方指定地点。</w:t>
      </w:r>
    </w:p>
    <w:p>
      <w:pPr>
        <w:adjustRightInd w:val="0"/>
        <w:spacing w:line="360" w:lineRule="auto"/>
        <w:ind w:firstLine="480" w:firstLineChars="200"/>
        <w:rPr>
          <w:sz w:val="24"/>
          <w:szCs w:val="24"/>
        </w:rPr>
      </w:pPr>
      <w:r>
        <w:rPr>
          <w:rFonts w:hint="eastAsia"/>
          <w:sz w:val="24"/>
          <w:szCs w:val="24"/>
        </w:rPr>
        <w:t>二、付款方式：</w:t>
      </w:r>
      <w:bookmarkStart w:id="0" w:name="_Hlk77754165"/>
      <w:r>
        <w:rPr>
          <w:rFonts w:hint="eastAsia"/>
          <w:sz w:val="24"/>
          <w:szCs w:val="24"/>
        </w:rPr>
        <w:t>本项目的测评费用,在项目测评报告出具后10个工作日内，由采购方一次性付清全款。</w:t>
      </w:r>
    </w:p>
    <w:p>
      <w:pPr>
        <w:adjustRightInd w:val="0"/>
        <w:spacing w:line="360" w:lineRule="auto"/>
        <w:ind w:firstLine="480" w:firstLineChars="200"/>
        <w:rPr>
          <w:sz w:val="24"/>
          <w:szCs w:val="24"/>
        </w:rPr>
      </w:pPr>
      <w:r>
        <w:rPr>
          <w:rFonts w:hint="eastAsia"/>
          <w:sz w:val="24"/>
          <w:szCs w:val="24"/>
        </w:rPr>
        <w:t>三、测评人员要求：</w:t>
      </w:r>
    </w:p>
    <w:p>
      <w:pPr>
        <w:adjustRightInd w:val="0"/>
        <w:spacing w:line="360" w:lineRule="auto"/>
        <w:ind w:firstLine="480" w:firstLineChars="200"/>
        <w:rPr>
          <w:sz w:val="24"/>
          <w:szCs w:val="24"/>
        </w:rPr>
      </w:pPr>
      <w:r>
        <w:rPr>
          <w:rFonts w:hint="eastAsia"/>
          <w:sz w:val="24"/>
          <w:szCs w:val="24"/>
        </w:rPr>
        <w:t>测评驻场人员要求：本次测评至少需要1名高级测评师，1名中级测评师，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bookmarkEnd w:id="0"/>
    </w:p>
    <w:p>
      <w:pPr>
        <w:adjustRightInd w:val="0"/>
        <w:spacing w:line="360" w:lineRule="auto"/>
        <w:ind w:firstLine="480" w:firstLineChars="200"/>
        <w:rPr>
          <w:sz w:val="24"/>
          <w:szCs w:val="24"/>
        </w:rPr>
      </w:pPr>
      <w:r>
        <w:rPr>
          <w:rFonts w:hint="eastAsia"/>
          <w:sz w:val="24"/>
          <w:szCs w:val="24"/>
          <w:lang w:val="en-US"/>
        </w:rPr>
        <w:t>四、</w:t>
      </w:r>
      <w:r>
        <w:rPr>
          <w:rFonts w:hint="eastAsia"/>
          <w:sz w:val="24"/>
          <w:szCs w:val="24"/>
        </w:rPr>
        <w:t>其它相关说明：</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1、本项目投标有效期为开标后60天。</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2、无论投标结果如何，投标供应商自行承担与投标响应有关的全部费用。</w:t>
      </w:r>
    </w:p>
    <w:p>
      <w:pPr>
        <w:pStyle w:val="2"/>
        <w:rPr>
          <w:lang w:val="en-US"/>
        </w:rPr>
      </w:pPr>
    </w:p>
    <w:p>
      <w:pPr>
        <w:rPr>
          <w:lang w:val="en-US"/>
        </w:rPr>
      </w:pPr>
    </w:p>
    <w:p>
      <w:pPr>
        <w:pStyle w:val="2"/>
        <w:rPr>
          <w:lang w:val="en-US"/>
        </w:rPr>
      </w:pPr>
    </w:p>
    <w:p>
      <w:pPr>
        <w:rPr>
          <w:rFonts w:hint="eastAsia"/>
          <w:lang w:val="en-US"/>
        </w:rPr>
      </w:pPr>
    </w:p>
    <w:p>
      <w:pPr>
        <w:pStyle w:val="5"/>
        <w:ind w:firstLine="0"/>
        <w:rPr>
          <w:rFonts w:asciiTheme="minorEastAsia" w:hAnsiTheme="minorEastAsia" w:eastAsiaTheme="minorEastAsia"/>
          <w:bCs/>
          <w:sz w:val="24"/>
          <w:lang w:val="en-US"/>
        </w:rPr>
      </w:pPr>
    </w:p>
    <w:p>
      <w:pPr>
        <w:numPr>
          <w:ilvl w:val="0"/>
          <w:numId w:val="1"/>
        </w:numPr>
        <w:spacing w:before="42"/>
        <w:ind w:left="9"/>
        <w:jc w:val="center"/>
        <w:rPr>
          <w:rFonts w:asciiTheme="minorEastAsia" w:hAnsiTheme="minorEastAsia" w:eastAsiaTheme="minorEastAsia"/>
          <w:b/>
          <w:sz w:val="44"/>
        </w:rPr>
      </w:pPr>
      <w:r>
        <w:rPr>
          <w:rFonts w:asciiTheme="minorEastAsia" w:hAnsiTheme="minorEastAsia" w:eastAsiaTheme="minorEastAsia"/>
          <w:b/>
          <w:sz w:val="44"/>
        </w:rPr>
        <w:t>投标人须知</w:t>
      </w:r>
    </w:p>
    <w:p>
      <w:pPr>
        <w:spacing w:before="42"/>
        <w:ind w:left="9" w:firstLine="281" w:firstLineChars="100"/>
        <w:jc w:val="center"/>
        <w:rPr>
          <w:rFonts w:asciiTheme="minorEastAsia" w:hAnsiTheme="minorEastAsia" w:eastAsiaTheme="minorEastAsia"/>
          <w:b/>
          <w:sz w:val="28"/>
        </w:rPr>
      </w:pPr>
      <w:r>
        <w:rPr>
          <w:rFonts w:hint="eastAsia" w:asciiTheme="minorEastAsia" w:hAnsiTheme="minorEastAsia" w:eastAsiaTheme="minorEastAsia"/>
          <w:b/>
          <w:sz w:val="28"/>
        </w:rPr>
        <w:t>一、招标采购文件说明</w:t>
      </w:r>
    </w:p>
    <w:p>
      <w:pPr>
        <w:pStyle w:val="2"/>
        <w:spacing w:before="192"/>
        <w:ind w:left="532"/>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招标采购文件由招标方负责解释。</w:t>
      </w:r>
    </w:p>
    <w:p>
      <w:pPr>
        <w:pStyle w:val="2"/>
        <w:tabs>
          <w:tab w:val="left" w:pos="1689"/>
        </w:tabs>
        <w:spacing w:before="91" w:line="321" w:lineRule="auto"/>
        <w:ind w:left="532" w:right="6485"/>
        <w:rPr>
          <w:rFonts w:asciiTheme="minorEastAsia" w:hAnsiTheme="minorEastAsia" w:eastAsiaTheme="minorEastAsia"/>
          <w:sz w:val="24"/>
          <w:szCs w:val="24"/>
        </w:rPr>
      </w:pPr>
      <w:r>
        <w:t>2</w:t>
      </w:r>
      <w:r>
        <w:rPr>
          <w:rFonts w:hint="eastAsia"/>
        </w:rPr>
        <w:t>、</w:t>
      </w:r>
      <w:r>
        <w:t>招标采购文件由下述部分</w:t>
      </w:r>
      <w:r>
        <w:rPr>
          <w:rFonts w:hint="eastAsia"/>
        </w:rPr>
        <w:t>组</w:t>
      </w:r>
      <w:r>
        <w:t>成：</w:t>
      </w:r>
      <w:r>
        <w:rPr>
          <w:rFonts w:asciiTheme="minorEastAsia" w:hAnsiTheme="minorEastAsia" w:eastAsiaTheme="minorEastAsia"/>
          <w:spacing w:val="-12"/>
          <w:sz w:val="24"/>
          <w:szCs w:val="24"/>
        </w:rPr>
        <w:t xml:space="preserve"> </w:t>
      </w:r>
      <w:r>
        <w:rPr>
          <w:rFonts w:asciiTheme="minorEastAsia" w:hAnsiTheme="minorEastAsia" w:eastAsiaTheme="minorEastAsia"/>
          <w:sz w:val="24"/>
          <w:szCs w:val="24"/>
        </w:rPr>
        <w:t>第一</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z w:val="24"/>
          <w:szCs w:val="24"/>
        </w:rPr>
        <w:tab/>
      </w:r>
      <w:r>
        <w:rPr>
          <w:rFonts w:asciiTheme="minorEastAsia" w:hAnsiTheme="minorEastAsia" w:eastAsiaTheme="minorEastAsia"/>
          <w:spacing w:val="-3"/>
          <w:sz w:val="24"/>
          <w:szCs w:val="24"/>
        </w:rPr>
        <w:t>招</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公</w:t>
      </w:r>
      <w:r>
        <w:rPr>
          <w:rFonts w:asciiTheme="minorEastAsia" w:hAnsiTheme="minorEastAsia" w:eastAsiaTheme="minorEastAsia"/>
          <w:sz w:val="24"/>
          <w:szCs w:val="24"/>
        </w:rPr>
        <w:t>告</w:t>
      </w:r>
    </w:p>
    <w:p>
      <w:pPr>
        <w:pStyle w:val="2"/>
        <w:spacing w:line="321" w:lineRule="auto"/>
        <w:ind w:left="532" w:right="7434"/>
        <w:rPr>
          <w:rFonts w:asciiTheme="minorEastAsia" w:hAnsiTheme="minorEastAsia" w:eastAsiaTheme="minorEastAsia"/>
          <w:sz w:val="24"/>
          <w:szCs w:val="24"/>
        </w:rPr>
      </w:pPr>
      <w:r>
        <w:rPr>
          <w:rFonts w:asciiTheme="minorEastAsia" w:hAnsiTheme="minorEastAsia" w:eastAsiaTheme="minorEastAsia"/>
          <w:sz w:val="24"/>
          <w:szCs w:val="24"/>
        </w:rPr>
        <w:t>第二</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采</w:t>
      </w:r>
      <w:r>
        <w:rPr>
          <w:rFonts w:asciiTheme="minorEastAsia" w:hAnsiTheme="minorEastAsia" w:eastAsiaTheme="minorEastAsia"/>
          <w:sz w:val="24"/>
          <w:szCs w:val="24"/>
        </w:rPr>
        <w:t>购</w:t>
      </w:r>
      <w:r>
        <w:rPr>
          <w:rFonts w:asciiTheme="minorEastAsia" w:hAnsiTheme="minorEastAsia" w:eastAsiaTheme="minorEastAsia"/>
          <w:spacing w:val="-3"/>
          <w:sz w:val="24"/>
          <w:szCs w:val="24"/>
        </w:rPr>
        <w:t>项</w:t>
      </w:r>
      <w:r>
        <w:rPr>
          <w:rFonts w:asciiTheme="minorEastAsia" w:hAnsiTheme="minorEastAsia" w:eastAsiaTheme="minorEastAsia"/>
          <w:sz w:val="24"/>
          <w:szCs w:val="24"/>
        </w:rPr>
        <w:t>目</w:t>
      </w:r>
      <w:r>
        <w:rPr>
          <w:rFonts w:asciiTheme="minorEastAsia" w:hAnsiTheme="minorEastAsia" w:eastAsiaTheme="minorEastAsia"/>
          <w:spacing w:val="-3"/>
          <w:sz w:val="24"/>
          <w:szCs w:val="24"/>
        </w:rPr>
        <w:t>需</w:t>
      </w:r>
      <w:r>
        <w:rPr>
          <w:rFonts w:asciiTheme="minorEastAsia" w:hAnsiTheme="minorEastAsia" w:eastAsiaTheme="minorEastAsia"/>
          <w:spacing w:val="-15"/>
          <w:sz w:val="24"/>
          <w:szCs w:val="24"/>
        </w:rPr>
        <w:t>求</w:t>
      </w:r>
      <w:r>
        <w:rPr>
          <w:rFonts w:asciiTheme="minorEastAsia" w:hAnsiTheme="minorEastAsia" w:eastAsiaTheme="minorEastAsia"/>
          <w:sz w:val="24"/>
          <w:szCs w:val="24"/>
        </w:rPr>
        <w:t>第三</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投</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人</w:t>
      </w:r>
      <w:r>
        <w:rPr>
          <w:rFonts w:asciiTheme="minorEastAsia" w:hAnsiTheme="minorEastAsia" w:eastAsiaTheme="minorEastAsia"/>
          <w:sz w:val="24"/>
          <w:szCs w:val="24"/>
        </w:rPr>
        <w:t>须知 第四</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开</w:t>
      </w:r>
      <w:r>
        <w:rPr>
          <w:rFonts w:asciiTheme="minorEastAsia" w:hAnsiTheme="minorEastAsia" w:eastAsiaTheme="minorEastAsia"/>
          <w:sz w:val="24"/>
          <w:szCs w:val="24"/>
        </w:rPr>
        <w:t>评标</w:t>
      </w:r>
    </w:p>
    <w:p>
      <w:pPr>
        <w:pStyle w:val="2"/>
        <w:spacing w:line="321" w:lineRule="auto"/>
        <w:ind w:left="532" w:right="7225"/>
        <w:rPr>
          <w:rFonts w:asciiTheme="minorEastAsia" w:hAnsiTheme="minorEastAsia" w:eastAsiaTheme="minorEastAsia"/>
          <w:sz w:val="24"/>
          <w:szCs w:val="24"/>
        </w:rPr>
      </w:pPr>
      <w:r>
        <w:rPr>
          <w:rFonts w:asciiTheme="minorEastAsia" w:hAnsiTheme="minorEastAsia" w:eastAsiaTheme="minorEastAsia"/>
          <w:sz w:val="24"/>
          <w:szCs w:val="24"/>
        </w:rPr>
        <w:t>第五</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合</w:t>
      </w:r>
      <w:r>
        <w:rPr>
          <w:rFonts w:asciiTheme="minorEastAsia" w:hAnsiTheme="minorEastAsia" w:eastAsiaTheme="minorEastAsia"/>
          <w:sz w:val="24"/>
          <w:szCs w:val="24"/>
        </w:rPr>
        <w:t>同</w:t>
      </w:r>
      <w:r>
        <w:rPr>
          <w:rFonts w:asciiTheme="minorEastAsia" w:hAnsiTheme="minorEastAsia" w:eastAsiaTheme="minorEastAsia"/>
          <w:spacing w:val="-3"/>
          <w:sz w:val="24"/>
          <w:szCs w:val="24"/>
        </w:rPr>
        <w:t>相</w:t>
      </w:r>
      <w:r>
        <w:rPr>
          <w:rFonts w:asciiTheme="minorEastAsia" w:hAnsiTheme="minorEastAsia" w:eastAsiaTheme="minorEastAsia"/>
          <w:sz w:val="24"/>
          <w:szCs w:val="24"/>
        </w:rPr>
        <w:t>关</w:t>
      </w:r>
      <w:r>
        <w:rPr>
          <w:rFonts w:asciiTheme="minorEastAsia" w:hAnsiTheme="minorEastAsia" w:eastAsiaTheme="minorEastAsia"/>
          <w:spacing w:val="-3"/>
          <w:sz w:val="24"/>
          <w:szCs w:val="24"/>
        </w:rPr>
        <w:t>要</w:t>
      </w:r>
      <w:r>
        <w:rPr>
          <w:rFonts w:asciiTheme="minorEastAsia" w:hAnsiTheme="minorEastAsia" w:eastAsiaTheme="minorEastAsia"/>
          <w:sz w:val="24"/>
          <w:szCs w:val="24"/>
        </w:rPr>
        <w:t>求 第六</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质</w:t>
      </w:r>
      <w:r>
        <w:rPr>
          <w:rFonts w:asciiTheme="minorEastAsia" w:hAnsiTheme="minorEastAsia" w:eastAsiaTheme="minorEastAsia"/>
          <w:sz w:val="24"/>
          <w:szCs w:val="24"/>
        </w:rPr>
        <w:t>疑</w:t>
      </w:r>
      <w:r>
        <w:rPr>
          <w:rFonts w:asciiTheme="minorEastAsia" w:hAnsiTheme="minorEastAsia" w:eastAsiaTheme="minorEastAsia"/>
          <w:spacing w:val="-3"/>
          <w:sz w:val="24"/>
          <w:szCs w:val="24"/>
        </w:rPr>
        <w:t>提</w:t>
      </w:r>
      <w:r>
        <w:rPr>
          <w:rFonts w:asciiTheme="minorEastAsia" w:hAnsiTheme="minorEastAsia" w:eastAsiaTheme="minorEastAsia"/>
          <w:sz w:val="24"/>
          <w:szCs w:val="24"/>
        </w:rPr>
        <w:t>出</w:t>
      </w:r>
      <w:r>
        <w:rPr>
          <w:rFonts w:asciiTheme="minorEastAsia" w:hAnsiTheme="minorEastAsia" w:eastAsiaTheme="minorEastAsia"/>
          <w:spacing w:val="-3"/>
          <w:sz w:val="24"/>
          <w:szCs w:val="24"/>
        </w:rPr>
        <w:t>和处</w:t>
      </w:r>
      <w:r>
        <w:rPr>
          <w:rFonts w:asciiTheme="minorEastAsia" w:hAnsiTheme="minorEastAsia" w:eastAsiaTheme="minorEastAsia"/>
          <w:spacing w:val="-14"/>
          <w:sz w:val="24"/>
          <w:szCs w:val="24"/>
        </w:rPr>
        <w:t>理</w:t>
      </w:r>
      <w:r>
        <w:rPr>
          <w:rFonts w:asciiTheme="minorEastAsia" w:hAnsiTheme="minorEastAsia" w:eastAsiaTheme="minorEastAsia"/>
          <w:sz w:val="24"/>
          <w:szCs w:val="24"/>
        </w:rPr>
        <w:t>第七</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投</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文</w:t>
      </w:r>
      <w:r>
        <w:rPr>
          <w:rFonts w:asciiTheme="minorEastAsia" w:hAnsiTheme="minorEastAsia" w:eastAsiaTheme="minorEastAsia"/>
          <w:sz w:val="24"/>
          <w:szCs w:val="24"/>
        </w:rPr>
        <w:t>件</w:t>
      </w:r>
      <w:r>
        <w:rPr>
          <w:rFonts w:asciiTheme="minorEastAsia" w:hAnsiTheme="minorEastAsia" w:eastAsiaTheme="minorEastAsia"/>
          <w:spacing w:val="-3"/>
          <w:sz w:val="24"/>
          <w:szCs w:val="24"/>
        </w:rPr>
        <w:t>格</w:t>
      </w:r>
      <w:r>
        <w:rPr>
          <w:rFonts w:asciiTheme="minorEastAsia" w:hAnsiTheme="minorEastAsia" w:eastAsiaTheme="minorEastAsia"/>
          <w:sz w:val="24"/>
          <w:szCs w:val="24"/>
        </w:rPr>
        <w:t>式</w:t>
      </w:r>
    </w:p>
    <w:p>
      <w:pPr>
        <w:spacing w:before="46"/>
        <w:ind w:left="12"/>
        <w:jc w:val="center"/>
        <w:rPr>
          <w:rFonts w:asciiTheme="minorEastAsia" w:hAnsiTheme="minorEastAsia" w:eastAsiaTheme="minorEastAsia"/>
          <w:b/>
          <w:sz w:val="28"/>
        </w:rPr>
      </w:pPr>
      <w:r>
        <w:rPr>
          <w:rFonts w:hint="eastAsia" w:asciiTheme="minorEastAsia" w:hAnsiTheme="minorEastAsia" w:eastAsiaTheme="minorEastAsia"/>
          <w:b/>
          <w:sz w:val="28"/>
        </w:rPr>
        <w:t>二、招标采购文件的澄清和修改</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1、供应商下载招标文件后，应仔细检查招标文件的所有内容，如对本次招标文件存在疑问，请将书面询问文件在本项目投标截止时间 24 小时前送至采购单位或代理单位，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3、招标人有权对发出的招标文件进行必要的澄清或修改。对招标文件的澄清、修改将构成招标文件的一部分，对所有投标人具有约束力。</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4、招标人可视情取消、延长投标截止时间和开标时间，不负责解释。</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5、投标人由于对招标文件的任何推论和误解以及招标人对有关问题的口头解释所造成的后果，均由投标人自负。</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6、招标人视情组织答疑会。</w:t>
      </w:r>
    </w:p>
    <w:p>
      <w:pPr>
        <w:spacing w:line="268" w:lineRule="exact"/>
        <w:rPr>
          <w:rFonts w:asciiTheme="minorEastAsia" w:hAnsiTheme="minorEastAsia" w:eastAsiaTheme="minorEastAsia"/>
          <w:sz w:val="21"/>
        </w:rPr>
      </w:pPr>
    </w:p>
    <w:p>
      <w:pPr>
        <w:jc w:val="center"/>
        <w:rPr>
          <w:rFonts w:asciiTheme="minorEastAsia" w:hAnsiTheme="minorEastAsia" w:eastAsiaTheme="minorEastAsia"/>
          <w:b/>
          <w:bCs/>
          <w:color w:val="000000"/>
          <w:sz w:val="28"/>
          <w:szCs w:val="24"/>
        </w:rPr>
      </w:pPr>
      <w:r>
        <w:rPr>
          <w:rFonts w:hint="eastAsia" w:asciiTheme="minorEastAsia" w:hAnsiTheme="minorEastAsia" w:eastAsiaTheme="minorEastAsia"/>
          <w:b/>
          <w:bCs/>
          <w:color w:val="000000"/>
          <w:sz w:val="28"/>
          <w:szCs w:val="24"/>
        </w:rPr>
        <w:t>三、投标文件的制作</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1、原则：</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（1）投标人应保证所提供的所有资料的真实性、准确性。</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（2）投标人在招标过程中提供不真实的材料，无论其材料是否重要，采购方都将终止其投标资格，投标人需承担相应的后果及法律责任。</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（3）采购方拒绝接受电报、电话或传真形式的投标文件。</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2、投标文件的组成：见本招标采购文件第七部分“投标文件格式”。</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特别提示：请投标人携带相关原件用于备查。不能提供原件的，则需投标人提供经注册地公证</w:t>
      </w:r>
    </w:p>
    <w:p>
      <w:pPr>
        <w:tabs>
          <w:tab w:val="left" w:pos="360"/>
        </w:tabs>
        <w:spacing w:line="360" w:lineRule="auto"/>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3、投标文件制作要求：</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（1）投标人应按投标文件组成顺序编写、制作投标文件，并牢固装订成册。投标文件均需采用A4 纸（图纸等除外）。投标文件不得行间插字、涂改、增删，如修改错漏处，须经投标文件签署人签字并加盖公章。</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（2）投标文件正本一份、副本贰份，在每一份投标文件上要明确标注投标人全称、“正本”、“副本”字样。一旦正本和副本内容有差异，以正本为准。</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（3）投标文件正本须打印并由法定代表人或授权代表签字并加盖单位公章。副本可复印，但须加盖单位公章。</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（4）所有密封文件封套正面须标明项目名称、边缝处加盖单位骑缝章或骑缝签字，并注明于开标前不得启封。如果投标供应商未加写标记，招标方对投标文件的误投和提前启封不负责任。</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4、投标报价</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w:t>
      </w:r>
      <w:r>
        <w:rPr>
          <w:rFonts w:hint="eastAsia" w:asciiTheme="minorEastAsia" w:hAnsiTheme="minorEastAsia" w:eastAsiaTheme="minorEastAsia"/>
          <w:bCs/>
          <w:sz w:val="24"/>
          <w:lang w:val="en-GB"/>
        </w:rPr>
        <w:t>投标报价应包含</w:t>
      </w:r>
      <w:r>
        <w:rPr>
          <w:rFonts w:hint="eastAsia" w:asciiTheme="minorEastAsia" w:hAnsiTheme="minorEastAsia" w:eastAsiaTheme="minorEastAsia"/>
          <w:bCs/>
          <w:sz w:val="24"/>
          <w:lang w:val="en-US"/>
        </w:rPr>
        <w:t>完成本项目所需的一切的费用，招标人不再支付其它任何费用。</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（2）本报价单具有法律效力，请供应商严格按项目要求报价，并由法定代表人或被授权人签署，加盖单位公章后有效（涂改无效）。</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（3）投标人应对招标文件内所要采购的全部内容进行报价，只投其中部分内容者，其投标书将被拒绝。</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（4）本项目将进行现场最终报价，请做好现场报价的准备。</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（5）本项目最高限价为人民币10万元。</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5、保证金:无。</w:t>
      </w:r>
    </w:p>
    <w:p>
      <w:pPr>
        <w:tabs>
          <w:tab w:val="left" w:pos="360"/>
        </w:tabs>
        <w:spacing w:line="360" w:lineRule="auto"/>
        <w:ind w:firstLine="480" w:firstLineChars="200"/>
        <w:jc w:val="both"/>
        <w:rPr>
          <w:rFonts w:asciiTheme="minorEastAsia" w:hAnsiTheme="minorEastAsia" w:eastAsiaTheme="minorEastAsia"/>
          <w:bCs/>
          <w:sz w:val="24"/>
          <w:lang w:val="en-US"/>
        </w:rPr>
        <w:sectPr>
          <w:footerReference r:id="rId3" w:type="default"/>
          <w:pgSz w:w="11910" w:h="16840"/>
          <w:pgMar w:top="1080" w:right="860" w:bottom="1120" w:left="660" w:header="0" w:footer="937" w:gutter="0"/>
          <w:pgNumType w:fmt="decimal"/>
          <w:cols w:space="720" w:num="1"/>
        </w:sectPr>
      </w:pPr>
    </w:p>
    <w:p>
      <w:pPr>
        <w:spacing w:line="360" w:lineRule="auto"/>
        <w:jc w:val="center"/>
        <w:rPr>
          <w:rFonts w:asciiTheme="minorEastAsia" w:hAnsiTheme="minorEastAsia" w:eastAsiaTheme="minorEastAsia"/>
          <w:b/>
          <w:bCs/>
          <w:color w:val="000000"/>
          <w:sz w:val="28"/>
          <w:szCs w:val="24"/>
          <w:lang w:val="en-US"/>
        </w:rPr>
      </w:pPr>
      <w:r>
        <w:rPr>
          <w:rFonts w:hint="eastAsia" w:asciiTheme="minorEastAsia" w:hAnsiTheme="minorEastAsia" w:eastAsiaTheme="minorEastAsia"/>
          <w:b/>
          <w:bCs/>
          <w:color w:val="000000"/>
          <w:sz w:val="28"/>
          <w:szCs w:val="24"/>
          <w:lang w:val="en-US"/>
        </w:rPr>
        <w:t>四、投标文件的递交</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1、招标方于开标地点在投标截止时间前半小时内接受标书。</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2、投标人递交投标文件的方式为专人当面递交的方式。</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3、招标方将拒绝接收递交时间、密封情况等不符合要求的投标文件。</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4、投标文件填写字迹必须清楚、工整，对不同文字文本投标文件的解释发生异议的，以中文文本为准。</w:t>
      </w:r>
    </w:p>
    <w:p>
      <w:pPr>
        <w:pStyle w:val="6"/>
        <w:spacing w:line="360" w:lineRule="auto"/>
        <w:ind w:left="12"/>
        <w:rPr>
          <w:rFonts w:asciiTheme="minorEastAsia" w:hAnsiTheme="minorEastAsia" w:eastAsiaTheme="minorEastAsia"/>
        </w:rPr>
      </w:pPr>
      <w:r>
        <w:rPr>
          <w:rFonts w:asciiTheme="minorEastAsia" w:hAnsiTheme="minorEastAsia" w:eastAsiaTheme="minorEastAsia"/>
        </w:rPr>
        <w:t>五、无效投标的情形</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发生下列情况之一的投标文件被视为无效： 1、投标报价超出项目最高单价限价的；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2、由于包装不妥，在送交途中严重破损或失散的投标文件；</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3、未按照招标文件要求盖章、签署姓名；未装订或未按照招标文件规定的数量进行制作、未按照招标文件规定要求密封；投标承诺函、法定代表人授权书等有涂改的；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4、未能提供合格的资格文件；</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5、投标人未对招标文件内所要采购的全部内容进行报价的；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6、与招标文件有重大偏离的或未能实质性响应技术商务要求的；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7、投标保证金未按规定交纳或不足的（本项目不需缴纳投标保证金）；</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8、开标时投标供应商授权代表未到开标现场或授权代表不能提供相应身份证明的；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9、投标供应商在投标活动中提供任何虚假材料或从事其他违法活动的；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10、评标委员会认为其他不合理情况的；</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11、不符合法律、法规和本招标文件规定的其他实质性要求的。</w:t>
      </w:r>
    </w:p>
    <w:p>
      <w:pPr>
        <w:pStyle w:val="6"/>
        <w:spacing w:line="360" w:lineRule="auto"/>
        <w:ind w:left="12"/>
        <w:rPr>
          <w:rFonts w:asciiTheme="minorEastAsia" w:hAnsiTheme="minorEastAsia" w:eastAsiaTheme="minorEastAsia"/>
        </w:rPr>
      </w:pPr>
      <w:r>
        <w:rPr>
          <w:rFonts w:asciiTheme="minorEastAsia" w:hAnsiTheme="minorEastAsia" w:eastAsiaTheme="minorEastAsia"/>
        </w:rPr>
        <w:t>六、变更为其他方式采购的情形</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投标截止时间出现如下情形的：参加投标的供应商不足3家的，或者评标中出现符合专业条件的供应商或对招标文件作实质响应的投标人不足3家的，采购任务取消。</w:t>
      </w:r>
    </w:p>
    <w:p>
      <w:pPr>
        <w:tabs>
          <w:tab w:val="left" w:pos="360"/>
        </w:tabs>
        <w:spacing w:line="360" w:lineRule="auto"/>
        <w:ind w:firstLine="480" w:firstLineChars="200"/>
        <w:jc w:val="both"/>
        <w:rPr>
          <w:rFonts w:asciiTheme="minorEastAsia" w:hAnsiTheme="minorEastAsia" w:eastAsiaTheme="minorEastAsia"/>
          <w:bCs/>
          <w:sz w:val="24"/>
          <w:lang w:val="en-US"/>
        </w:rPr>
        <w:sectPr>
          <w:pgSz w:w="11910" w:h="16840"/>
          <w:pgMar w:top="1140" w:right="860" w:bottom="1120" w:left="660" w:header="0" w:footer="937" w:gutter="0"/>
          <w:pgNumType w:fmt="decimal"/>
          <w:cols w:space="720" w:num="1"/>
        </w:sectPr>
      </w:pPr>
    </w:p>
    <w:p>
      <w:pPr>
        <w:tabs>
          <w:tab w:val="left" w:pos="2441"/>
        </w:tabs>
        <w:spacing w:before="23"/>
        <w:ind w:left="12"/>
        <w:jc w:val="center"/>
        <w:rPr>
          <w:rFonts w:asciiTheme="minorEastAsia" w:hAnsiTheme="minorEastAsia" w:eastAsiaTheme="minorEastAsia"/>
          <w:b/>
          <w:sz w:val="44"/>
        </w:rPr>
      </w:pPr>
      <w:r>
        <w:rPr>
          <w:rFonts w:asciiTheme="minorEastAsia" w:hAnsiTheme="minorEastAsia" w:eastAsiaTheme="minorEastAsia"/>
          <w:b/>
          <w:sz w:val="44"/>
        </w:rPr>
        <w:t>第四部分</w:t>
      </w:r>
      <w:r>
        <w:rPr>
          <w:rFonts w:asciiTheme="minorEastAsia" w:hAnsiTheme="minorEastAsia" w:eastAsiaTheme="minorEastAsia"/>
          <w:b/>
          <w:sz w:val="44"/>
        </w:rPr>
        <w:tab/>
      </w:r>
      <w:r>
        <w:rPr>
          <w:rFonts w:asciiTheme="minorEastAsia" w:hAnsiTheme="minorEastAsia" w:eastAsiaTheme="minorEastAsia"/>
          <w:b/>
          <w:sz w:val="44"/>
        </w:rPr>
        <w:t>开评标</w:t>
      </w:r>
    </w:p>
    <w:p>
      <w:pPr>
        <w:spacing w:before="76" w:line="360" w:lineRule="auto"/>
        <w:jc w:val="center"/>
        <w:rPr>
          <w:rFonts w:asciiTheme="minorEastAsia" w:hAnsiTheme="minorEastAsia" w:eastAsiaTheme="minorEastAsia"/>
          <w:b/>
          <w:sz w:val="28"/>
        </w:rPr>
      </w:pPr>
      <w:r>
        <w:rPr>
          <w:rFonts w:hint="eastAsia" w:asciiTheme="minorEastAsia" w:hAnsiTheme="minorEastAsia" w:eastAsiaTheme="minorEastAsia"/>
          <w:b/>
          <w:sz w:val="28"/>
        </w:rPr>
        <w:t>一、开评标程序</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1、招标人组织开标</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(1）招标方在招标文件规定的时间和地点公开开标，投标人的法定代表人或授权代表须持有效身份证参加开标会。</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US"/>
        </w:rPr>
        <w:t>(2)</w:t>
      </w:r>
      <w:r>
        <w:rPr>
          <w:rFonts w:hint="eastAsia" w:asciiTheme="minorEastAsia" w:hAnsiTheme="minorEastAsia" w:eastAsiaTheme="minorEastAsia"/>
          <w:bCs/>
          <w:sz w:val="24"/>
          <w:lang w:val="en-GB"/>
        </w:rPr>
        <w:t>凡在投标、开标过程中，招标人已提示是否有异议的事项，投标人当时没有提出异议的，事后投标人不得针对上述事项提出质疑。</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w:t>
      </w:r>
      <w:r>
        <w:rPr>
          <w:rFonts w:hint="eastAsia" w:asciiTheme="minorEastAsia" w:hAnsiTheme="minorEastAsia" w:eastAsiaTheme="minorEastAsia"/>
          <w:bCs/>
          <w:sz w:val="24"/>
          <w:lang w:val="en-GB"/>
        </w:rPr>
        <w:t>在投标、评标过程中，如果投标人联合故意抬高报价或出现其他不正当行为，招标人有权中止投标或评标。</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2、评委会由采购单位代表及相关领域的专家组成，对投标文件进行审查、质疑、评估、比较。评委会按照公平、公正、择优的原则进行独立评标。监督管理部门代表将监督开标的全过程。</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 xml:space="preserve"> (1)评审内容     </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投标人的投标资格；投标文件是否完整；投标文件是否恰当地签署；是否作出实质性响应；是否有计算错误。评委评标只根据投标文件本身，而不寻求外部证据。</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（2）相应的规定</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 陈述、演示、答疑、澄清</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如评委会认为有必要，投标人按评委会的要求作陈述、演示、答疑及澄清其投标内容。时间由评委会掌握。重要澄清答复应是书面的，但不得对投标内容进行实质性修改。</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 竞争性磋商程序</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(1)磋商小组依据《中华人民共和国政府采购法》、《政府采购竞争性磋商采购方式管理暂行办法》以及有关政府采购的相关法规，遵循“公开、公平、公正、择优、信用”的原则进行磋商评审。</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（2）磋商小组将按照竞争性磋商文件的规定，只对资格审查合格的供应商的磋商响应文件进行评审和比较。</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3）磋商小组根据磋商文件规定的程序、评定成交的标准等事项与实质性响应磋商文件要求的供应商进行磋商。未实质性响应磋商文件要求的磋商响应文件按无效处理，磋商小组应当告知提交磋商响应文件的供应商。</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4、中标通知</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（1）中标结果确定后，将在指定媒体上</w:t>
      </w:r>
      <w:r>
        <w:rPr>
          <w:rFonts w:hint="eastAsia" w:asciiTheme="minorEastAsia" w:hAnsiTheme="minorEastAsia" w:eastAsiaTheme="minorEastAsia"/>
          <w:bCs/>
          <w:color w:val="000000" w:themeColor="text1"/>
          <w:sz w:val="24"/>
          <w:lang w:val="en-GB"/>
          <w14:textFill>
            <w14:solidFill>
              <w14:schemeClr w14:val="tx1"/>
            </w14:solidFill>
          </w14:textFill>
        </w:rPr>
        <w:t>公示1个</w:t>
      </w:r>
      <w:r>
        <w:rPr>
          <w:rFonts w:hint="eastAsia" w:asciiTheme="minorEastAsia" w:hAnsiTheme="minorEastAsia" w:eastAsiaTheme="minorEastAsia"/>
          <w:bCs/>
          <w:sz w:val="24"/>
          <w:lang w:val="en-GB"/>
        </w:rPr>
        <w:t>工作日。公示期满，如无异议的，由招标人向中标方签发《中标通知书》，《中标通知书》一经发出，即具有法律效力。采购人和成交供应商依法承担法律责任。</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w:t>
      </w:r>
      <w:r>
        <w:rPr>
          <w:rFonts w:hint="eastAsia" w:asciiTheme="minorEastAsia" w:hAnsiTheme="minorEastAsia" w:eastAsiaTheme="minorEastAsia"/>
          <w:bCs/>
          <w:sz w:val="24"/>
          <w:lang w:val="en-GB"/>
        </w:rPr>
        <w:t>未收到中标通知的投标人默认为未中标人，招标人不再以其它方式另行通知。</w:t>
      </w:r>
    </w:p>
    <w:p>
      <w:pPr>
        <w:pStyle w:val="4"/>
      </w:pPr>
    </w:p>
    <w:p>
      <w:pPr>
        <w:pStyle w:val="4"/>
      </w:pPr>
      <w:r>
        <w:rPr>
          <w:rFonts w:hint="eastAsia"/>
        </w:rPr>
        <w:t>二、 评标办法</w:t>
      </w:r>
    </w:p>
    <w:p>
      <w:pPr>
        <w:tabs>
          <w:tab w:val="left" w:pos="360"/>
        </w:tabs>
        <w:spacing w:line="360" w:lineRule="auto"/>
        <w:ind w:firstLine="480" w:firstLineChars="200"/>
        <w:jc w:val="both"/>
        <w:rPr>
          <w:rFonts w:asciiTheme="minorEastAsia" w:hAnsiTheme="minorEastAsia" w:eastAsiaTheme="minorEastAsia"/>
          <w:bCs/>
          <w:sz w:val="24"/>
          <w:lang w:val="en-GB"/>
        </w:rPr>
      </w:pPr>
      <w:bookmarkStart w:id="1" w:name="_Toc25400536"/>
      <w:bookmarkStart w:id="2" w:name="_Toc26261456"/>
      <w:bookmarkStart w:id="3" w:name="_Toc25574120"/>
      <w:bookmarkStart w:id="4" w:name="_Toc25726409"/>
      <w:bookmarkStart w:id="5" w:name="_Toc52352456"/>
      <w:bookmarkStart w:id="6" w:name="_Toc25401332"/>
      <w:r>
        <w:rPr>
          <w:rFonts w:hint="eastAsia" w:asciiTheme="minorEastAsia" w:hAnsiTheme="minorEastAsia" w:eastAsiaTheme="minorEastAsia"/>
          <w:bCs/>
          <w:sz w:val="24"/>
          <w:lang w:val="en-GB"/>
        </w:rPr>
        <w:t>评审标准</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1、采用综合评分法，即在满足招标文件实质性要求前提下，按照招标文件中规定的评分标准和各项因素进行综合评审后，以评标总得分最高的投标人作为中标候选人。只对资格审查合格的供应商的磋商响应文件进行评审和比较。</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2</w:t>
      </w:r>
      <w:r>
        <w:rPr>
          <w:rFonts w:hint="eastAsia" w:asciiTheme="minorEastAsia" w:hAnsiTheme="minorEastAsia" w:eastAsiaTheme="minorEastAsia"/>
          <w:bCs/>
          <w:sz w:val="24"/>
          <w:lang w:val="en-US"/>
        </w:rPr>
        <w:t>、</w:t>
      </w:r>
      <w:r>
        <w:rPr>
          <w:rFonts w:hint="eastAsia" w:asciiTheme="minorEastAsia" w:hAnsiTheme="minorEastAsia" w:eastAsiaTheme="minorEastAsia"/>
          <w:bCs/>
          <w:sz w:val="24"/>
          <w:lang w:val="en-GB"/>
        </w:rPr>
        <w:t>对评委的评分（除价格分外）进行统计汇总，计算出每个投标人的算术平均值，加上价格得分即为每个投标人的综合得分。</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3、供应商的最后报价分统一采用低价优先法计算直接取得，与技术得分相加为磋商响应供应商的综合得分（四舍五入保留两位小数）。</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4、总得分最高的即为中标候选人。</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5、商务技术分：70分</w:t>
      </w:r>
    </w:p>
    <w:bookmarkEnd w:id="1"/>
    <w:bookmarkEnd w:id="2"/>
    <w:bookmarkEnd w:id="3"/>
    <w:bookmarkEnd w:id="4"/>
    <w:bookmarkEnd w:id="5"/>
    <w:bookmarkEnd w:id="6"/>
    <w:p>
      <w:pPr>
        <w:pStyle w:val="2"/>
        <w:rPr>
          <w:rFonts w:asciiTheme="minorEastAsia" w:hAnsiTheme="minorEastAsia" w:eastAsiaTheme="minorEastAsia"/>
          <w:sz w:val="20"/>
        </w:rPr>
      </w:pPr>
    </w:p>
    <w:tbl>
      <w:tblPr>
        <w:tblStyle w:val="23"/>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25"/>
        <w:gridCol w:w="685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1" w:type="dxa"/>
          </w:tcPr>
          <w:p>
            <w:pPr>
              <w:spacing w:line="400" w:lineRule="exact"/>
              <w:jc w:val="center"/>
              <w:rPr>
                <w:b/>
                <w:bCs/>
                <w:color w:val="000000"/>
                <w:szCs w:val="21"/>
              </w:rPr>
            </w:pPr>
            <w:r>
              <w:rPr>
                <w:rFonts w:hint="eastAsia"/>
                <w:b/>
                <w:bCs/>
                <w:color w:val="000000"/>
                <w:szCs w:val="21"/>
              </w:rPr>
              <w:t>序号</w:t>
            </w:r>
          </w:p>
        </w:tc>
        <w:tc>
          <w:tcPr>
            <w:tcW w:w="1325" w:type="dxa"/>
          </w:tcPr>
          <w:p>
            <w:pPr>
              <w:spacing w:line="400" w:lineRule="exact"/>
              <w:rPr>
                <w:b/>
                <w:bCs/>
                <w:color w:val="000000"/>
                <w:szCs w:val="21"/>
              </w:rPr>
            </w:pPr>
            <w:r>
              <w:rPr>
                <w:rFonts w:hint="eastAsia"/>
                <w:b/>
                <w:bCs/>
                <w:color w:val="000000"/>
                <w:szCs w:val="21"/>
              </w:rPr>
              <w:t>评分点名称</w:t>
            </w:r>
          </w:p>
        </w:tc>
        <w:tc>
          <w:tcPr>
            <w:tcW w:w="6850" w:type="dxa"/>
          </w:tcPr>
          <w:p>
            <w:pPr>
              <w:spacing w:line="400" w:lineRule="exact"/>
              <w:ind w:firstLine="446" w:firstLineChars="202"/>
              <w:jc w:val="center"/>
              <w:rPr>
                <w:b/>
                <w:bCs/>
                <w:color w:val="000000"/>
                <w:szCs w:val="21"/>
              </w:rPr>
            </w:pPr>
            <w:r>
              <w:rPr>
                <w:rFonts w:hint="eastAsia"/>
                <w:b/>
                <w:bCs/>
                <w:color w:val="000000"/>
                <w:szCs w:val="21"/>
              </w:rPr>
              <w:t>评审标准</w:t>
            </w:r>
          </w:p>
        </w:tc>
        <w:tc>
          <w:tcPr>
            <w:tcW w:w="934" w:type="dxa"/>
          </w:tcPr>
          <w:p>
            <w:pPr>
              <w:spacing w:line="400" w:lineRule="exact"/>
              <w:jc w:val="center"/>
              <w:rPr>
                <w:b/>
                <w:bCs/>
                <w:color w:val="000000"/>
                <w:szCs w:val="21"/>
              </w:rPr>
            </w:pPr>
            <w:r>
              <w:rPr>
                <w:rFonts w:hint="eastAsia"/>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11" w:type="dxa"/>
            <w:vAlign w:val="center"/>
          </w:tcPr>
          <w:p>
            <w:pPr>
              <w:jc w:val="center"/>
              <w:rPr>
                <w:color w:val="000000"/>
                <w:szCs w:val="21"/>
              </w:rPr>
            </w:pPr>
            <w:r>
              <w:rPr>
                <w:rFonts w:hint="eastAsia"/>
                <w:color w:val="000000"/>
                <w:szCs w:val="21"/>
                <w:lang w:val="en-US"/>
              </w:rPr>
              <w:t>1</w:t>
            </w:r>
          </w:p>
        </w:tc>
        <w:tc>
          <w:tcPr>
            <w:tcW w:w="1325" w:type="dxa"/>
            <w:vAlign w:val="center"/>
          </w:tcPr>
          <w:p>
            <w:pPr>
              <w:jc w:val="center"/>
              <w:rPr>
                <w:rFonts w:cs="仿宋_GB2312"/>
                <w:bCs/>
                <w:szCs w:val="21"/>
              </w:rPr>
            </w:pPr>
            <w:r>
              <w:rPr>
                <w:rFonts w:hint="eastAsia" w:cs="仿宋_GB2312"/>
                <w:bCs/>
                <w:szCs w:val="21"/>
              </w:rPr>
              <w:t>企业能力</w:t>
            </w:r>
          </w:p>
        </w:tc>
        <w:tc>
          <w:tcPr>
            <w:tcW w:w="6850" w:type="dxa"/>
            <w:vAlign w:val="center"/>
          </w:tcPr>
          <w:p>
            <w:pPr>
              <w:pStyle w:val="5"/>
              <w:ind w:firstLine="0"/>
              <w:rPr>
                <w:rFonts w:cs="仿宋_GB2312"/>
                <w:bCs/>
                <w:szCs w:val="21"/>
              </w:rPr>
            </w:pPr>
            <w:r>
              <w:rPr>
                <w:rFonts w:hint="eastAsia" w:cs="仿宋_GB2312"/>
                <w:bCs/>
                <w:szCs w:val="21"/>
              </w:rPr>
              <w:t>1</w:t>
            </w:r>
            <w:r>
              <w:rPr>
                <w:rFonts w:hint="eastAsia" w:cs="仿宋_GB2312"/>
                <w:bCs/>
                <w:szCs w:val="21"/>
                <w:lang w:val="en-US"/>
              </w:rPr>
              <w:t>.</w:t>
            </w:r>
            <w:r>
              <w:rPr>
                <w:rFonts w:hint="eastAsia"/>
              </w:rPr>
              <w:t xml:space="preserve"> </w:t>
            </w:r>
            <w:r>
              <w:rPr>
                <w:rFonts w:hint="eastAsia" w:cs="仿宋_GB2312"/>
                <w:bCs/>
                <w:szCs w:val="21"/>
              </w:rPr>
              <w:t>供应商提供自任意一年的</w:t>
            </w:r>
            <w:r>
              <w:rPr>
                <w:rFonts w:cs="仿宋_GB2312"/>
                <w:bCs/>
                <w:szCs w:val="21"/>
              </w:rPr>
              <w:t>CNAS能力验证计划结果通知单，评审专家对所有供应商结果通知单中的总得分按从高到底进行排序，第一名得</w:t>
            </w:r>
            <w:r>
              <w:rPr>
                <w:rFonts w:hint="eastAsia" w:cs="仿宋_GB2312"/>
                <w:bCs/>
                <w:szCs w:val="21"/>
              </w:rPr>
              <w:t>5</w:t>
            </w:r>
            <w:r>
              <w:rPr>
                <w:rFonts w:cs="仿宋_GB2312"/>
                <w:bCs/>
                <w:szCs w:val="21"/>
              </w:rPr>
              <w:t>分，第二名得</w:t>
            </w:r>
            <w:r>
              <w:rPr>
                <w:rFonts w:hint="eastAsia" w:cs="仿宋_GB2312"/>
                <w:bCs/>
                <w:szCs w:val="21"/>
              </w:rPr>
              <w:t>3</w:t>
            </w:r>
            <w:r>
              <w:rPr>
                <w:rFonts w:cs="仿宋_GB2312"/>
                <w:bCs/>
                <w:szCs w:val="21"/>
              </w:rPr>
              <w:t>分，其余得1分，不提供不得分</w:t>
            </w:r>
            <w:r>
              <w:rPr>
                <w:rFonts w:hint="eastAsia" w:cs="仿宋_GB2312"/>
                <w:bCs/>
                <w:szCs w:val="21"/>
              </w:rPr>
              <w:t>。</w:t>
            </w:r>
          </w:p>
          <w:p>
            <w:pPr>
              <w:pStyle w:val="5"/>
              <w:ind w:firstLine="0"/>
              <w:rPr>
                <w:rFonts w:cs="仿宋_GB2312"/>
                <w:bCs/>
                <w:szCs w:val="21"/>
              </w:rPr>
            </w:pPr>
            <w:r>
              <w:rPr>
                <w:rFonts w:hint="eastAsia" w:cs="仿宋_GB2312"/>
                <w:bCs/>
                <w:szCs w:val="21"/>
                <w:lang w:val="en-US"/>
              </w:rPr>
              <w:t>2.</w:t>
            </w:r>
            <w:r>
              <w:rPr>
                <w:rFonts w:hint="eastAsia" w:cs="仿宋_GB2312"/>
                <w:bCs/>
                <w:szCs w:val="21"/>
              </w:rPr>
              <w:t>投标供应商与信息安全等级保护关键技术国家工程实验室或分实验室在网络安全方面有合作的得5分，否则不得分。（提供有效期内的证明材料复印件并加盖供应商公章）</w:t>
            </w:r>
          </w:p>
          <w:p>
            <w:pPr>
              <w:pStyle w:val="5"/>
              <w:keepNext w:val="0"/>
              <w:keepLines w:val="0"/>
              <w:pageBreakBefore w:val="0"/>
              <w:widowControl w:val="0"/>
              <w:kinsoku/>
              <w:wordWrap/>
              <w:overflowPunct/>
              <w:topLinePunct w:val="0"/>
              <w:autoSpaceDE w:val="0"/>
              <w:autoSpaceDN w:val="0"/>
              <w:bidi w:val="0"/>
              <w:adjustRightInd/>
              <w:snapToGrid/>
              <w:spacing w:line="240" w:lineRule="auto"/>
              <w:ind w:firstLine="0"/>
              <w:textAlignment w:val="auto"/>
              <w:rPr>
                <w:rFonts w:cs="仿宋_GB2312"/>
                <w:bCs/>
                <w:szCs w:val="21"/>
              </w:rPr>
            </w:pPr>
            <w:r>
              <w:rPr>
                <w:rFonts w:hint="eastAsia" w:cs="仿宋_GB2312"/>
                <w:bCs/>
                <w:szCs w:val="21"/>
              </w:rPr>
              <w:t>3.近五年在国家网络安全等级保护工作协调小组办公室网站（</w:t>
            </w:r>
            <w:r>
              <w:rPr>
                <w:rFonts w:cs="仿宋_GB2312"/>
                <w:bCs/>
                <w:szCs w:val="21"/>
              </w:rPr>
              <w:t>www.djbh.net）上无任何违规处罚、通报、责令整改等信息得</w:t>
            </w:r>
            <w:r>
              <w:rPr>
                <w:rFonts w:hint="eastAsia" w:cs="仿宋_GB2312"/>
                <w:bCs/>
                <w:szCs w:val="21"/>
              </w:rPr>
              <w:t>5</w:t>
            </w:r>
            <w:r>
              <w:rPr>
                <w:rFonts w:cs="仿宋_GB2312"/>
                <w:bCs/>
                <w:szCs w:val="21"/>
              </w:rPr>
              <w:t>分，不提供不得分。（提供在上述网站无违规处罚信息承诺函并加盖公章）</w:t>
            </w:r>
          </w:p>
        </w:tc>
        <w:tc>
          <w:tcPr>
            <w:tcW w:w="934" w:type="dxa"/>
            <w:vAlign w:val="center"/>
          </w:tcPr>
          <w:p>
            <w:pPr>
              <w:jc w:val="center"/>
              <w:rPr>
                <w:color w:val="000000"/>
                <w:szCs w:val="21"/>
              </w:rPr>
            </w:pPr>
            <w:r>
              <w:rPr>
                <w:rFonts w:hint="eastAsia"/>
                <w:color w:val="000000"/>
                <w:szCs w:val="21"/>
              </w:rPr>
              <w:t>1</w:t>
            </w:r>
            <w:r>
              <w:rPr>
                <w:rFonts w:hint="eastAsia"/>
                <w:color w:val="000000"/>
                <w:szCs w:val="21"/>
                <w:lang w:val="en-US"/>
              </w:rPr>
              <w:t>5</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11" w:type="dxa"/>
            <w:vAlign w:val="center"/>
          </w:tcPr>
          <w:p>
            <w:pPr>
              <w:jc w:val="center"/>
              <w:rPr>
                <w:color w:val="000000"/>
                <w:szCs w:val="21"/>
                <w:lang w:val="en-US"/>
              </w:rPr>
            </w:pPr>
            <w:r>
              <w:rPr>
                <w:rFonts w:hint="eastAsia"/>
                <w:color w:val="000000"/>
                <w:szCs w:val="21"/>
                <w:lang w:val="en-US"/>
              </w:rPr>
              <w:t>2</w:t>
            </w:r>
          </w:p>
        </w:tc>
        <w:tc>
          <w:tcPr>
            <w:tcW w:w="1325" w:type="dxa"/>
            <w:vAlign w:val="center"/>
          </w:tcPr>
          <w:p>
            <w:pPr>
              <w:jc w:val="center"/>
              <w:rPr>
                <w:color w:val="000000"/>
                <w:szCs w:val="21"/>
              </w:rPr>
            </w:pPr>
            <w:r>
              <w:rPr>
                <w:rFonts w:hint="eastAsia" w:cs="仿宋_GB2312"/>
                <w:bCs/>
                <w:szCs w:val="21"/>
              </w:rPr>
              <w:t>企业资质</w:t>
            </w:r>
          </w:p>
        </w:tc>
        <w:tc>
          <w:tcPr>
            <w:tcW w:w="6850" w:type="dxa"/>
            <w:vAlign w:val="center"/>
          </w:tcPr>
          <w:p>
            <w:pPr>
              <w:rPr>
                <w:rFonts w:cs="仿宋_GB2312"/>
                <w:bCs/>
                <w:szCs w:val="21"/>
              </w:rPr>
            </w:pPr>
            <w:r>
              <w:rPr>
                <w:rFonts w:hint="eastAsia" w:cs="仿宋_GB2312"/>
                <w:bCs/>
                <w:szCs w:val="21"/>
              </w:rPr>
              <w:t>1</w:t>
            </w:r>
            <w:r>
              <w:rPr>
                <w:rFonts w:hint="eastAsia" w:cs="仿宋_GB2312"/>
                <w:bCs/>
                <w:szCs w:val="21"/>
                <w:lang w:val="en-US"/>
              </w:rPr>
              <w:t>.</w:t>
            </w:r>
            <w:r>
              <w:rPr>
                <w:rFonts w:hint="eastAsia" w:cs="仿宋_GB2312"/>
                <w:bCs/>
                <w:szCs w:val="21"/>
              </w:rPr>
              <w:t>具有中国网络安全审查技术与认证中心（CCRC）颁发的信息安全风险评估服务资质的得3分，没有不得分。</w:t>
            </w:r>
          </w:p>
          <w:p>
            <w:pPr>
              <w:rPr>
                <w:rFonts w:cs="仿宋_GB2312"/>
                <w:bCs/>
                <w:szCs w:val="21"/>
              </w:rPr>
            </w:pPr>
            <w:r>
              <w:rPr>
                <w:rFonts w:hint="eastAsia"/>
              </w:rPr>
              <w:t>2.</w:t>
            </w:r>
            <w:r>
              <w:rPr>
                <w:rFonts w:hint="eastAsia" w:cs="仿宋_GB2312"/>
                <w:bCs/>
                <w:szCs w:val="21"/>
              </w:rPr>
              <w:t>具有中国网络安全审查技术与认证中心（CCRC）颁发的信息系统安全运维服务资质的得3分，没有不得分。</w:t>
            </w:r>
          </w:p>
          <w:p>
            <w:pPr>
              <w:rPr>
                <w:rFonts w:cs="仿宋_GB2312"/>
                <w:bCs/>
                <w:szCs w:val="21"/>
              </w:rPr>
            </w:pPr>
            <w:r>
              <w:rPr>
                <w:rFonts w:hint="eastAsia" w:cs="仿宋_GB2312"/>
                <w:bCs/>
                <w:szCs w:val="21"/>
              </w:rPr>
              <w:t>3</w:t>
            </w:r>
            <w:r>
              <w:rPr>
                <w:rFonts w:hint="eastAsia" w:cs="仿宋_GB2312"/>
                <w:bCs/>
                <w:szCs w:val="21"/>
                <w:lang w:val="en-US"/>
              </w:rPr>
              <w:t>.</w:t>
            </w:r>
            <w:r>
              <w:rPr>
                <w:rFonts w:hint="eastAsia" w:cs="仿宋_GB2312"/>
                <w:bCs/>
                <w:szCs w:val="21"/>
              </w:rPr>
              <w:t>具有ISO27001网络安全管理体系认证证书的得3分，没有不得分。</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cs="仿宋_GB2312"/>
                <w:bCs/>
                <w:szCs w:val="21"/>
              </w:rPr>
            </w:pPr>
            <w:r>
              <w:rPr>
                <w:rFonts w:hint="eastAsia" w:cs="仿宋_GB2312"/>
                <w:bCs/>
                <w:szCs w:val="21"/>
              </w:rPr>
              <w:t>4</w:t>
            </w:r>
            <w:r>
              <w:rPr>
                <w:rFonts w:hint="eastAsia" w:cs="仿宋_GB2312"/>
                <w:bCs/>
                <w:szCs w:val="21"/>
                <w:lang w:val="en-US"/>
              </w:rPr>
              <w:t>.</w:t>
            </w:r>
            <w:r>
              <w:rPr>
                <w:rFonts w:hint="eastAsia" w:cs="仿宋_GB2312"/>
                <w:bCs/>
                <w:szCs w:val="21"/>
              </w:rPr>
              <w:t>具有ISO9001质量管理体系认证证书的得3分，没有不得分。</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szCs w:val="21"/>
              </w:rPr>
            </w:pPr>
            <w:r>
              <w:rPr>
                <w:rFonts w:hint="eastAsia"/>
              </w:rPr>
              <w:t>5.具有</w:t>
            </w:r>
            <w:r>
              <w:t>CMMI证书3级及以上（CMMI证书5级为最高级）的得3分，不提供不得分</w:t>
            </w:r>
            <w:r>
              <w:rPr>
                <w:rFonts w:hint="eastAsia"/>
              </w:rPr>
              <w:t>。</w:t>
            </w:r>
          </w:p>
        </w:tc>
        <w:tc>
          <w:tcPr>
            <w:tcW w:w="934" w:type="dxa"/>
            <w:vAlign w:val="center"/>
          </w:tcPr>
          <w:p>
            <w:pPr>
              <w:jc w:val="center"/>
              <w:rPr>
                <w:color w:val="000000"/>
                <w:szCs w:val="21"/>
              </w:rPr>
            </w:pPr>
            <w:r>
              <w:rPr>
                <w:rFonts w:hint="eastAsia"/>
                <w:color w:val="000000"/>
                <w:szCs w:val="21"/>
                <w:lang w:val="en-US"/>
              </w:rPr>
              <w:t>15</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11" w:type="dxa"/>
            <w:vAlign w:val="center"/>
          </w:tcPr>
          <w:p>
            <w:pPr>
              <w:jc w:val="center"/>
              <w:rPr>
                <w:color w:val="000000"/>
                <w:szCs w:val="21"/>
              </w:rPr>
            </w:pPr>
            <w:r>
              <w:rPr>
                <w:rFonts w:hint="eastAsia"/>
                <w:color w:val="000000"/>
                <w:szCs w:val="21"/>
              </w:rPr>
              <w:t>3</w:t>
            </w:r>
          </w:p>
        </w:tc>
        <w:tc>
          <w:tcPr>
            <w:tcW w:w="1325" w:type="dxa"/>
            <w:vAlign w:val="center"/>
          </w:tcPr>
          <w:p>
            <w:pPr>
              <w:jc w:val="center"/>
              <w:rPr>
                <w:bCs/>
                <w:szCs w:val="21"/>
              </w:rPr>
            </w:pPr>
            <w:r>
              <w:rPr>
                <w:bCs/>
                <w:szCs w:val="21"/>
              </w:rPr>
              <w:t>测评案例</w:t>
            </w:r>
          </w:p>
        </w:tc>
        <w:tc>
          <w:tcPr>
            <w:tcW w:w="6850" w:type="dxa"/>
            <w:vAlign w:val="center"/>
          </w:tcPr>
          <w:p>
            <w:pPr>
              <w:pStyle w:val="5"/>
              <w:keepNext w:val="0"/>
              <w:keepLines w:val="0"/>
              <w:pageBreakBefore w:val="0"/>
              <w:widowControl w:val="0"/>
              <w:kinsoku/>
              <w:wordWrap/>
              <w:overflowPunct/>
              <w:topLinePunct w:val="0"/>
              <w:autoSpaceDE w:val="0"/>
              <w:autoSpaceDN w:val="0"/>
              <w:bidi w:val="0"/>
              <w:adjustRightInd/>
              <w:snapToGrid/>
              <w:spacing w:line="240" w:lineRule="auto"/>
              <w:ind w:firstLine="0"/>
              <w:textAlignment w:val="auto"/>
              <w:rPr>
                <w:szCs w:val="21"/>
              </w:rPr>
            </w:pPr>
            <w:r>
              <w:rPr>
                <w:rFonts w:hint="eastAsia" w:cs="仿宋_GB2312"/>
                <w:bCs/>
                <w:szCs w:val="21"/>
              </w:rPr>
              <w:t>投标供应商提供20</w:t>
            </w:r>
            <w:r>
              <w:rPr>
                <w:rFonts w:cs="仿宋_GB2312"/>
                <w:bCs/>
                <w:szCs w:val="21"/>
              </w:rPr>
              <w:t>2</w:t>
            </w:r>
            <w:r>
              <w:rPr>
                <w:rFonts w:hint="eastAsia" w:cs="仿宋_GB2312"/>
                <w:bCs/>
                <w:szCs w:val="21"/>
              </w:rPr>
              <w:t>1年以来网络安全等级保护测评案例，每个案例得</w:t>
            </w:r>
            <w:r>
              <w:rPr>
                <w:rFonts w:hint="eastAsia" w:cs="仿宋_GB2312"/>
                <w:bCs/>
                <w:szCs w:val="21"/>
                <w:lang w:val="en-US"/>
              </w:rPr>
              <w:t>2分，最高得10分。</w:t>
            </w:r>
            <w:r>
              <w:rPr>
                <w:rFonts w:hint="eastAsia" w:cs="仿宋_GB2312"/>
                <w:bCs/>
                <w:szCs w:val="21"/>
              </w:rPr>
              <w:t>（提供合同复印件并加盖投标供应商公章）</w:t>
            </w:r>
          </w:p>
        </w:tc>
        <w:tc>
          <w:tcPr>
            <w:tcW w:w="934" w:type="dxa"/>
            <w:vAlign w:val="center"/>
          </w:tcPr>
          <w:p>
            <w:pPr>
              <w:jc w:val="center"/>
              <w:rPr>
                <w:color w:val="000000"/>
                <w:szCs w:val="21"/>
              </w:rPr>
            </w:pPr>
            <w:r>
              <w:rPr>
                <w:rFonts w:hint="eastAsia"/>
                <w:color w:val="000000"/>
                <w:szCs w:val="21"/>
                <w:lang w:val="en-US"/>
              </w:rPr>
              <w:t>10</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811" w:type="dxa"/>
            <w:vAlign w:val="center"/>
          </w:tcPr>
          <w:p>
            <w:pPr>
              <w:jc w:val="center"/>
              <w:rPr>
                <w:color w:val="000000"/>
                <w:szCs w:val="21"/>
              </w:rPr>
            </w:pPr>
            <w:r>
              <w:rPr>
                <w:rFonts w:hint="eastAsia"/>
                <w:color w:val="000000"/>
                <w:szCs w:val="21"/>
              </w:rPr>
              <w:t>4</w:t>
            </w:r>
          </w:p>
        </w:tc>
        <w:tc>
          <w:tcPr>
            <w:tcW w:w="1325" w:type="dxa"/>
            <w:vAlign w:val="center"/>
          </w:tcPr>
          <w:p>
            <w:pPr>
              <w:jc w:val="center"/>
              <w:rPr>
                <w:color w:val="000000"/>
                <w:szCs w:val="21"/>
              </w:rPr>
            </w:pPr>
            <w:r>
              <w:rPr>
                <w:rFonts w:hint="eastAsia"/>
                <w:color w:val="000000"/>
                <w:szCs w:val="21"/>
              </w:rPr>
              <w:t>人员资质</w:t>
            </w:r>
          </w:p>
        </w:tc>
        <w:tc>
          <w:tcPr>
            <w:tcW w:w="6850" w:type="dxa"/>
            <w:vAlign w:val="center"/>
          </w:tcPr>
          <w:p>
            <w:pPr>
              <w:rPr>
                <w:rFonts w:cs="仿宋_GB2312"/>
                <w:bCs/>
                <w:szCs w:val="21"/>
              </w:rPr>
            </w:pPr>
            <w:r>
              <w:rPr>
                <w:rFonts w:hint="eastAsia" w:cs="仿宋_GB2312"/>
                <w:bCs/>
                <w:szCs w:val="21"/>
              </w:rPr>
              <w:t>承担本次项目的项目团队人员具备：</w:t>
            </w:r>
          </w:p>
          <w:p>
            <w:pPr>
              <w:pStyle w:val="42"/>
              <w:spacing w:line="240" w:lineRule="auto"/>
              <w:ind w:firstLine="0"/>
              <w:rPr>
                <w:rFonts w:cs="仿宋_GB2312"/>
                <w:bCs/>
                <w:szCs w:val="21"/>
              </w:rPr>
            </w:pPr>
            <w:r>
              <w:rPr>
                <w:rFonts w:hint="eastAsia" w:cs="仿宋_GB2312"/>
                <w:bCs/>
                <w:szCs w:val="21"/>
                <w:lang w:val="en-US"/>
              </w:rPr>
              <w:t>1.</w:t>
            </w:r>
            <w:r>
              <w:rPr>
                <w:rFonts w:hint="eastAsia" w:cs="仿宋_GB2312"/>
                <w:bCs/>
                <w:szCs w:val="21"/>
              </w:rPr>
              <w:t>本项目拟派团队的项目经理为高级测评师得2分，项目经理有CISP认证的得2分，有CISSP认证的得3分，有网络安全技术权威专家（CompTIA Security+）证书的得3分；本项最高得10分。</w:t>
            </w:r>
          </w:p>
          <w:p>
            <w:pPr>
              <w:pStyle w:val="42"/>
              <w:spacing w:line="240" w:lineRule="auto"/>
              <w:ind w:firstLine="0"/>
              <w:rPr>
                <w:rFonts w:cs="仿宋_GB2312"/>
                <w:bCs/>
                <w:szCs w:val="21"/>
              </w:rPr>
            </w:pPr>
            <w:r>
              <w:rPr>
                <w:rFonts w:hint="eastAsia" w:cs="仿宋_GB2312"/>
                <w:bCs/>
                <w:szCs w:val="21"/>
              </w:rPr>
              <w:t>2</w:t>
            </w:r>
            <w:r>
              <w:rPr>
                <w:rFonts w:hint="eastAsia" w:cs="仿宋_GB2312"/>
                <w:bCs/>
                <w:szCs w:val="21"/>
                <w:lang w:val="en-US"/>
              </w:rPr>
              <w:t>.</w:t>
            </w:r>
            <w:r>
              <w:rPr>
                <w:rFonts w:hint="eastAsia" w:cs="仿宋_GB2312"/>
                <w:bCs/>
                <w:szCs w:val="21"/>
              </w:rPr>
              <w:t>除项目经理外，本项目拟派团队中持有</w:t>
            </w:r>
            <w:r>
              <w:rPr>
                <w:rFonts w:cs="仿宋_GB2312"/>
                <w:bCs/>
                <w:szCs w:val="21"/>
              </w:rPr>
              <w:t>ISG技能鉴定证书/参赛证书的</w:t>
            </w:r>
            <w:r>
              <w:rPr>
                <w:rFonts w:hint="eastAsia" w:cs="仿宋_GB2312"/>
                <w:bCs/>
                <w:szCs w:val="21"/>
              </w:rPr>
              <w:t>得2分；本项最高得2分。</w:t>
            </w:r>
          </w:p>
          <w:p>
            <w:pPr>
              <w:rPr>
                <w:rFonts w:cs="仿宋_GB2312"/>
                <w:bCs/>
                <w:szCs w:val="21"/>
              </w:rPr>
            </w:pPr>
            <w:r>
              <w:rPr>
                <w:rFonts w:hint="eastAsia" w:cs="仿宋_GB2312"/>
                <w:bCs/>
                <w:szCs w:val="21"/>
              </w:rPr>
              <w:t>3</w:t>
            </w:r>
            <w:r>
              <w:rPr>
                <w:rFonts w:hint="eastAsia" w:cs="仿宋_GB2312"/>
                <w:bCs/>
                <w:szCs w:val="21"/>
                <w:lang w:val="en-US"/>
              </w:rPr>
              <w:t>.</w:t>
            </w:r>
            <w:r>
              <w:rPr>
                <w:rFonts w:hint="eastAsia" w:cs="仿宋_GB2312"/>
                <w:bCs/>
                <w:szCs w:val="21"/>
              </w:rPr>
              <w:t>除项目经理外，本项目拟派团队中有重要信息系统安全等级保护培训证书（CIIP-T）的得2分；本项最高得2分。</w:t>
            </w:r>
          </w:p>
          <w:p>
            <w:pPr>
              <w:rPr>
                <w:color w:val="000000"/>
                <w:szCs w:val="21"/>
              </w:rPr>
            </w:pPr>
            <w:r>
              <w:rPr>
                <w:rFonts w:hint="eastAsia"/>
                <w:color w:val="000000"/>
                <w:szCs w:val="21"/>
              </w:rPr>
              <w:t xml:space="preserve">证明材料： </w:t>
            </w:r>
          </w:p>
          <w:p>
            <w:pPr>
              <w:rPr>
                <w:color w:val="000000"/>
                <w:szCs w:val="21"/>
              </w:rPr>
            </w:pPr>
            <w:r>
              <w:rPr>
                <w:rFonts w:hint="eastAsia"/>
                <w:color w:val="000000"/>
                <w:szCs w:val="21"/>
              </w:rPr>
              <w:t>1、提供拟派人员名单以及以上相关证明材料复印件并加盖供应商公章；</w:t>
            </w:r>
          </w:p>
          <w:p>
            <w:pPr>
              <w:rPr>
                <w:color w:val="000000"/>
                <w:szCs w:val="21"/>
              </w:rPr>
            </w:pPr>
            <w:r>
              <w:rPr>
                <w:rFonts w:hint="eastAsia"/>
                <w:color w:val="000000"/>
                <w:szCs w:val="21"/>
              </w:rPr>
              <w:t>2、拟派人员为本单位正式员工，须提供投标人为其缴纳的自投标截止时间前三个月的养老保险缴费证明（投标人如为成立不足三个月的新公司，可以提供最近一个月的养老保险缴费证明；成立不足一个月的新公司，可以不提交养老保险缴费证明）并加盖单位公章。</w:t>
            </w:r>
          </w:p>
        </w:tc>
        <w:tc>
          <w:tcPr>
            <w:tcW w:w="934" w:type="dxa"/>
            <w:vAlign w:val="center"/>
          </w:tcPr>
          <w:p>
            <w:pPr>
              <w:jc w:val="center"/>
              <w:rPr>
                <w:color w:val="000000"/>
                <w:szCs w:val="21"/>
              </w:rPr>
            </w:pPr>
            <w:r>
              <w:rPr>
                <w:rFonts w:hint="eastAsia"/>
                <w:color w:val="00000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1" w:type="dxa"/>
            <w:vAlign w:val="center"/>
          </w:tcPr>
          <w:p>
            <w:pPr>
              <w:spacing w:line="360" w:lineRule="auto"/>
              <w:jc w:val="center"/>
              <w:rPr>
                <w:color w:val="000000"/>
                <w:szCs w:val="21"/>
              </w:rPr>
            </w:pPr>
            <w:r>
              <w:rPr>
                <w:rFonts w:hint="eastAsia"/>
                <w:color w:val="000000"/>
                <w:szCs w:val="21"/>
                <w:lang w:val="en-US"/>
              </w:rPr>
              <w:t>5</w:t>
            </w:r>
          </w:p>
        </w:tc>
        <w:tc>
          <w:tcPr>
            <w:tcW w:w="1325" w:type="dxa"/>
            <w:vAlign w:val="center"/>
          </w:tcPr>
          <w:p>
            <w:pPr>
              <w:spacing w:line="360" w:lineRule="auto"/>
              <w:jc w:val="center"/>
              <w:rPr>
                <w:color w:val="000000"/>
                <w:szCs w:val="21"/>
                <w:lang w:val="en-US"/>
              </w:rPr>
            </w:pPr>
            <w:r>
              <w:rPr>
                <w:rFonts w:hint="eastAsia"/>
                <w:color w:val="000000"/>
                <w:szCs w:val="21"/>
              </w:rPr>
              <w:t>技术方案</w:t>
            </w:r>
          </w:p>
        </w:tc>
        <w:tc>
          <w:tcPr>
            <w:tcW w:w="6850" w:type="dxa"/>
            <w:vAlign w:val="center"/>
          </w:tcPr>
          <w:p>
            <w:pPr>
              <w:rPr>
                <w:color w:val="000000"/>
                <w:szCs w:val="21"/>
              </w:rPr>
            </w:pPr>
            <w:r>
              <w:rPr>
                <w:rFonts w:hint="eastAsia"/>
                <w:color w:val="000000"/>
                <w:szCs w:val="21"/>
              </w:rPr>
              <w:t>供应商根据招标需求进行等保测评的方案设计，供应商能够详细描述信息系统现状，制定的方案科学、合理、全面、可行性高的得11分；</w:t>
            </w:r>
          </w:p>
          <w:p>
            <w:pPr>
              <w:rPr>
                <w:color w:val="000000"/>
                <w:szCs w:val="21"/>
                <w:lang w:val="en-US"/>
              </w:rPr>
            </w:pPr>
            <w:r>
              <w:rPr>
                <w:rFonts w:hint="eastAsia"/>
                <w:color w:val="000000"/>
                <w:szCs w:val="21"/>
              </w:rPr>
              <w:t>方案粗糙、过程不够全面、可行性一般的得6分；方案简单，可行性差的得4分；未提供的不得分。</w:t>
            </w:r>
          </w:p>
        </w:tc>
        <w:tc>
          <w:tcPr>
            <w:tcW w:w="934" w:type="dxa"/>
            <w:vAlign w:val="center"/>
          </w:tcPr>
          <w:p>
            <w:pPr>
              <w:jc w:val="center"/>
              <w:rPr>
                <w:color w:val="000000"/>
                <w:szCs w:val="21"/>
                <w:lang w:val="en-US"/>
              </w:rPr>
            </w:pPr>
            <w:r>
              <w:rPr>
                <w:rFonts w:hint="eastAsia"/>
                <w:color w:val="000000"/>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11" w:type="dxa"/>
            <w:vAlign w:val="center"/>
          </w:tcPr>
          <w:p>
            <w:pPr>
              <w:spacing w:line="360" w:lineRule="auto"/>
              <w:jc w:val="center"/>
              <w:rPr>
                <w:color w:val="000000"/>
                <w:szCs w:val="21"/>
              </w:rPr>
            </w:pPr>
            <w:r>
              <w:rPr>
                <w:rFonts w:hint="eastAsia"/>
                <w:color w:val="000000"/>
                <w:szCs w:val="21"/>
                <w:lang w:val="en-US"/>
              </w:rPr>
              <w:t>6</w:t>
            </w:r>
          </w:p>
        </w:tc>
        <w:tc>
          <w:tcPr>
            <w:tcW w:w="1325" w:type="dxa"/>
            <w:vAlign w:val="center"/>
          </w:tcPr>
          <w:p>
            <w:pPr>
              <w:spacing w:line="360" w:lineRule="auto"/>
              <w:jc w:val="center"/>
              <w:rPr>
                <w:color w:val="000000"/>
                <w:szCs w:val="21"/>
                <w:lang w:val="en-US"/>
              </w:rPr>
            </w:pPr>
            <w:r>
              <w:rPr>
                <w:rFonts w:hint="eastAsia"/>
                <w:color w:val="000000"/>
                <w:sz w:val="21"/>
                <w:szCs w:val="21"/>
                <w:lang w:val="en-US" w:bidi="ar-SA"/>
              </w:rPr>
              <w:t>应急响应能力</w:t>
            </w:r>
          </w:p>
        </w:tc>
        <w:tc>
          <w:tcPr>
            <w:tcW w:w="6850" w:type="dxa"/>
            <w:vAlign w:val="center"/>
          </w:tcPr>
          <w:p>
            <w:pPr>
              <w:rPr>
                <w:color w:val="000000"/>
                <w:szCs w:val="21"/>
                <w:lang w:val="en-US"/>
              </w:rPr>
            </w:pPr>
            <w:r>
              <w:rPr>
                <w:rFonts w:hint="eastAsia"/>
              </w:rPr>
              <w:t>供应商具备网络安全事件应急响应服务能力，当发生安全事件时能1小时内到现场响应的得</w:t>
            </w:r>
            <w:r>
              <w:rPr>
                <w:rFonts w:hint="eastAsia"/>
                <w:lang w:val="en-US"/>
              </w:rPr>
              <w:t>5</w:t>
            </w:r>
            <w:r>
              <w:rPr>
                <w:rFonts w:hint="eastAsia"/>
              </w:rPr>
              <w:t>分，2小时内到现场响应的得</w:t>
            </w:r>
            <w:r>
              <w:rPr>
                <w:rFonts w:hint="eastAsia"/>
                <w:lang w:val="en-US"/>
              </w:rPr>
              <w:t>3</w:t>
            </w:r>
            <w:r>
              <w:rPr>
                <w:rFonts w:hint="eastAsia"/>
              </w:rPr>
              <w:t>分，3小时内到现场响应的得1分，超过3小时到现场响应的不得分，提供应急响应承诺函，响应服务时间以投标企业注册地址至采购人地址主流导航显示时间为准。（提供截图并加盖公章）。</w:t>
            </w:r>
          </w:p>
        </w:tc>
        <w:tc>
          <w:tcPr>
            <w:tcW w:w="934" w:type="dxa"/>
            <w:vAlign w:val="center"/>
          </w:tcPr>
          <w:p>
            <w:pPr>
              <w:jc w:val="center"/>
              <w:rPr>
                <w:color w:val="000000"/>
                <w:szCs w:val="21"/>
                <w:lang w:val="en-US"/>
              </w:rPr>
            </w:pPr>
            <w:r>
              <w:rPr>
                <w:rFonts w:hint="eastAsia"/>
                <w:color w:val="000000"/>
                <w:szCs w:val="21"/>
                <w:lang w:val="en-US"/>
              </w:rPr>
              <w:t>5</w:t>
            </w:r>
            <w:r>
              <w:rPr>
                <w:rFonts w:hint="eastAsia"/>
                <w:color w:val="000000"/>
                <w:szCs w:val="21"/>
              </w:rPr>
              <w:t>分</w:t>
            </w:r>
          </w:p>
        </w:tc>
      </w:tr>
    </w:tbl>
    <w:p>
      <w:pPr>
        <w:spacing w:line="360" w:lineRule="auto"/>
        <w:rPr>
          <w:color w:val="000000"/>
          <w:szCs w:val="21"/>
        </w:rPr>
      </w:pP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US"/>
        </w:rPr>
        <w:t>6、</w:t>
      </w:r>
      <w:r>
        <w:rPr>
          <w:rFonts w:hint="eastAsia" w:asciiTheme="minorEastAsia" w:hAnsiTheme="minorEastAsia" w:eastAsiaTheme="minorEastAsia"/>
          <w:bCs/>
          <w:sz w:val="24"/>
          <w:lang w:val="en-GB"/>
        </w:rPr>
        <w:t>价格分：30分</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综合评分法中的价格分统一采用低价优先法计算，即满足磋商文件要求且最后报价最低的供应商的价格为磋商基准价，其价格分为满分。其他供应商的价格分统一按照下列公式计算：</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GB"/>
        </w:rPr>
        <w:t>磋商报价得分=（磋商基准价/最后磋商报价）×30。</w:t>
      </w:r>
    </w:p>
    <w:p>
      <w:pPr>
        <w:tabs>
          <w:tab w:val="left" w:pos="360"/>
        </w:tabs>
        <w:spacing w:line="360" w:lineRule="auto"/>
        <w:ind w:firstLine="480" w:firstLineChars="200"/>
        <w:jc w:val="both"/>
        <w:rPr>
          <w:rFonts w:asciiTheme="minorEastAsia" w:hAnsiTheme="minorEastAsia" w:eastAsiaTheme="minorEastAsia"/>
          <w:bCs/>
          <w:sz w:val="24"/>
          <w:lang w:val="en-GB"/>
        </w:rPr>
      </w:pPr>
      <w:r>
        <w:rPr>
          <w:rFonts w:hint="eastAsia" w:asciiTheme="minorEastAsia" w:hAnsiTheme="minorEastAsia" w:eastAsiaTheme="minorEastAsia"/>
          <w:bCs/>
          <w:sz w:val="24"/>
          <w:lang w:val="en-US"/>
        </w:rPr>
        <w:t>7、</w:t>
      </w:r>
      <w:r>
        <w:rPr>
          <w:rFonts w:hint="eastAsia" w:asciiTheme="minorEastAsia" w:hAnsiTheme="minorEastAsia" w:eastAsiaTheme="minorEastAsia"/>
          <w:bCs/>
          <w:sz w:val="24"/>
          <w:lang w:val="en-GB"/>
        </w:rPr>
        <w:t>推荐成交人的特殊情况处理：采用综合评分法综合得分相同 ，按照最后报价由低到高的顺序推荐；综合得分且最后报价相同的并列；综合得分排序并列第一的，则采取现场抽签的方式确定（供应商的抽签顺序分别为各供应商递交竞争性磋商响应文件签到顺序号）。</w:t>
      </w:r>
    </w:p>
    <w:p>
      <w:pPr>
        <w:spacing w:line="360" w:lineRule="auto"/>
        <w:rPr>
          <w:color w:val="000000"/>
          <w:szCs w:val="21"/>
          <w:lang w:val="en-US"/>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40"/>
        </w:rPr>
      </w:pPr>
      <w:r>
        <w:rPr>
          <w:rFonts w:asciiTheme="minorEastAsia" w:hAnsiTheme="minorEastAsia" w:eastAsiaTheme="minorEastAsia"/>
          <w:b/>
          <w:sz w:val="36"/>
        </w:rPr>
        <w:t>第五部分</w:t>
      </w:r>
      <w:r>
        <w:rPr>
          <w:rFonts w:asciiTheme="minorEastAsia" w:hAnsiTheme="minorEastAsia" w:eastAsiaTheme="minorEastAsia"/>
          <w:b/>
          <w:sz w:val="36"/>
        </w:rPr>
        <w:tab/>
      </w:r>
      <w:r>
        <w:rPr>
          <w:rFonts w:asciiTheme="minorEastAsia" w:hAnsiTheme="minorEastAsia" w:eastAsiaTheme="minorEastAsia"/>
          <w:b/>
          <w:sz w:val="40"/>
        </w:rPr>
        <w:t>合同相关要求</w:t>
      </w:r>
    </w:p>
    <w:p>
      <w:pPr>
        <w:pStyle w:val="2"/>
        <w:rPr>
          <w:rFonts w:asciiTheme="minorEastAsia" w:hAnsiTheme="minorEastAsia" w:eastAsiaTheme="minorEastAsia"/>
        </w:rPr>
      </w:pPr>
    </w:p>
    <w:p>
      <w:pPr>
        <w:autoSpaceDE/>
        <w:autoSpaceDN/>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 xml:space="preserve"> 合同最终稿由供需双方协商后确定。</w:t>
      </w:r>
    </w:p>
    <w:p>
      <w:pPr>
        <w:pStyle w:val="5"/>
        <w:rPr>
          <w:lang w:val="en-US"/>
        </w:rPr>
      </w:pPr>
    </w:p>
    <w:p>
      <w:pPr>
        <w:spacing w:line="360" w:lineRule="auto"/>
        <w:ind w:left="-360" w:firstLine="440" w:firstLineChars="200"/>
        <w:rPr>
          <w:szCs w:val="21"/>
          <w:lang w:val="en-GB"/>
        </w:rPr>
      </w:pPr>
      <w:r>
        <w:rPr>
          <w:rFonts w:hint="eastAsia"/>
          <w:szCs w:val="21"/>
          <w:lang w:val="en-GB"/>
        </w:rPr>
        <w:t>1、中标公示期满后3日内须领取中标通知书，同时中标人应按照《中标通知书》指定的时间内与采购人洽谈并签订合同，合同一式五份(采购单位、供应商、财政局采购管理科、区公共资源交易中心以及采购单位主管部门各一份)。如在规定的时限内因中标方原因没有签订合同，将取消中标人候选人中标资格。所签合同不得对招标文件作实质性修改，否则投标保证金将不予退还，由此给采购人造成损失的，成交供应商还应承担赔偿责任。</w:t>
      </w:r>
    </w:p>
    <w:p>
      <w:pPr>
        <w:spacing w:line="360" w:lineRule="auto"/>
        <w:ind w:left="-360" w:firstLine="440" w:firstLineChars="200"/>
        <w:rPr>
          <w:szCs w:val="21"/>
          <w:lang w:val="en-GB"/>
        </w:rPr>
      </w:pPr>
      <w:r>
        <w:rPr>
          <w:rFonts w:hint="eastAsia"/>
          <w:szCs w:val="21"/>
          <w:lang w:val="en-GB"/>
        </w:rPr>
        <w:t>2、</w:t>
      </w:r>
      <w:r>
        <w:rPr>
          <w:rFonts w:hint="eastAsia"/>
          <w:szCs w:val="21"/>
        </w:rPr>
        <w:t>招标采购文件</w:t>
      </w:r>
      <w:r>
        <w:rPr>
          <w:rFonts w:hint="eastAsia"/>
          <w:szCs w:val="21"/>
          <w:lang w:val="en-GB"/>
        </w:rPr>
        <w:t>、</w:t>
      </w:r>
      <w:r>
        <w:rPr>
          <w:rFonts w:hint="eastAsia"/>
          <w:szCs w:val="21"/>
        </w:rPr>
        <w:t>中标人</w:t>
      </w:r>
      <w:r>
        <w:rPr>
          <w:rFonts w:hint="eastAsia"/>
          <w:szCs w:val="21"/>
          <w:lang w:val="en-GB"/>
        </w:rPr>
        <w:t>的投标文件及投标过程中有关书面澄清、承诺等均应作为合同附件，具有同等的法律效力。</w:t>
      </w:r>
    </w:p>
    <w:p>
      <w:pPr>
        <w:spacing w:line="360" w:lineRule="auto"/>
        <w:ind w:left="-360" w:firstLine="440" w:firstLineChars="200"/>
        <w:rPr>
          <w:szCs w:val="21"/>
          <w:lang w:val="en-GB"/>
        </w:rPr>
      </w:pPr>
      <w:r>
        <w:rPr>
          <w:rFonts w:hint="eastAsia"/>
          <w:szCs w:val="21"/>
        </w:rPr>
        <w:t>3</w:t>
      </w:r>
      <w:r>
        <w:rPr>
          <w:rFonts w:hint="eastAsia"/>
          <w:szCs w:val="21"/>
          <w:lang w:val="en-GB"/>
        </w:rPr>
        <w:t>、</w:t>
      </w:r>
      <w:r>
        <w:rPr>
          <w:rFonts w:hint="eastAsia"/>
          <w:szCs w:val="21"/>
        </w:rPr>
        <w:t>中标人</w:t>
      </w:r>
      <w:r>
        <w:rPr>
          <w:rFonts w:hint="eastAsia"/>
          <w:szCs w:val="21"/>
          <w:lang w:val="en-GB"/>
        </w:rPr>
        <w:t>不得采用分包的形式履行合同，否则采购人有权终止合同，造成采购人损失的，</w:t>
      </w:r>
      <w:r>
        <w:rPr>
          <w:rFonts w:hint="eastAsia"/>
          <w:szCs w:val="21"/>
        </w:rPr>
        <w:t>中标人</w:t>
      </w:r>
      <w:r>
        <w:rPr>
          <w:rFonts w:hint="eastAsia"/>
          <w:szCs w:val="21"/>
          <w:lang w:val="en-GB"/>
        </w:rPr>
        <w:t>应承担相应赔偿责任。</w:t>
      </w:r>
      <w:r>
        <w:rPr>
          <w:rFonts w:hint="eastAsia"/>
          <w:szCs w:val="21"/>
        </w:rPr>
        <w:t>中标人</w:t>
      </w:r>
      <w:r>
        <w:rPr>
          <w:rFonts w:hint="eastAsia"/>
          <w:szCs w:val="21"/>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民法典》规定处理，同时扣除相应合同履约金。另外，区公共资源交易中心将视具体情况，限止其参加在本区范围内6个月至3年的政府采购招投标活动。</w:t>
      </w:r>
    </w:p>
    <w:p>
      <w:pPr>
        <w:spacing w:line="360" w:lineRule="auto"/>
        <w:ind w:left="-360" w:firstLine="440" w:firstLineChars="200"/>
        <w:rPr>
          <w:szCs w:val="21"/>
          <w:lang w:val="en-GB"/>
        </w:rPr>
      </w:pPr>
      <w:r>
        <w:rPr>
          <w:rFonts w:hint="eastAsia"/>
          <w:szCs w:val="21"/>
        </w:rPr>
        <w:t>4</w:t>
      </w:r>
      <w:r>
        <w:rPr>
          <w:rFonts w:hint="eastAsia"/>
          <w:szCs w:val="21"/>
          <w:lang w:val="en-GB"/>
        </w:rPr>
        <w:t>、</w:t>
      </w:r>
      <w:r>
        <w:rPr>
          <w:rFonts w:hint="eastAsia"/>
          <w:szCs w:val="21"/>
        </w:rPr>
        <w:t>中标人</w:t>
      </w:r>
      <w:r>
        <w:rPr>
          <w:rFonts w:hint="eastAsia"/>
          <w:szCs w:val="21"/>
          <w:lang w:val="en-GB"/>
        </w:rPr>
        <w:t>如没有在合同规定的时限内完工，招标人将向</w:t>
      </w:r>
      <w:r>
        <w:rPr>
          <w:rFonts w:hint="eastAsia"/>
          <w:szCs w:val="21"/>
        </w:rPr>
        <w:t>中标人</w:t>
      </w:r>
      <w:r>
        <w:rPr>
          <w:rFonts w:hint="eastAsia"/>
          <w:szCs w:val="21"/>
          <w:lang w:val="en-GB"/>
        </w:rPr>
        <w:t>发出书面违约通知并有权全部或部分终止合同，同时招标人由此造成的损失须由</w:t>
      </w:r>
      <w:r>
        <w:rPr>
          <w:rFonts w:hint="eastAsia"/>
          <w:szCs w:val="21"/>
        </w:rPr>
        <w:t>中标人</w:t>
      </w:r>
      <w:r>
        <w:rPr>
          <w:rFonts w:hint="eastAsia"/>
          <w:szCs w:val="21"/>
          <w:lang w:val="en-GB"/>
        </w:rPr>
        <w:t>负责赔偿。</w:t>
      </w:r>
    </w:p>
    <w:p>
      <w:pPr>
        <w:spacing w:line="360" w:lineRule="auto"/>
        <w:ind w:left="-360" w:firstLine="440" w:firstLineChars="200"/>
        <w:rPr>
          <w:szCs w:val="21"/>
          <w:lang w:val="en-GB"/>
        </w:rPr>
      </w:pPr>
      <w:r>
        <w:rPr>
          <w:rFonts w:hint="eastAsia"/>
          <w:szCs w:val="21"/>
        </w:rPr>
        <w:t>5、</w:t>
      </w:r>
      <w:r>
        <w:rPr>
          <w:rFonts w:hint="eastAsia"/>
          <w:szCs w:val="21"/>
          <w:lang w:val="en-GB"/>
        </w:rPr>
        <w:t>采购单位按合同约定积极配合中标供应商履约，</w:t>
      </w:r>
      <w:r>
        <w:rPr>
          <w:rFonts w:hint="eastAsia"/>
          <w:szCs w:val="21"/>
        </w:rPr>
        <w:t>中标人</w:t>
      </w:r>
      <w:r>
        <w:rPr>
          <w:rFonts w:hint="eastAsia"/>
          <w:szCs w:val="21"/>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pPr>
        <w:spacing w:line="360" w:lineRule="auto"/>
        <w:ind w:left="-360" w:firstLine="440" w:firstLineChars="200"/>
        <w:rPr>
          <w:szCs w:val="21"/>
        </w:rPr>
      </w:pPr>
      <w:r>
        <w:rPr>
          <w:rFonts w:hint="eastAsia"/>
          <w:szCs w:val="21"/>
        </w:rPr>
        <w:t>6、</w:t>
      </w:r>
      <w:r>
        <w:rPr>
          <w:rFonts w:hint="eastAsia"/>
          <w:szCs w:val="21"/>
          <w:lang w:val="en-GB"/>
        </w:rPr>
        <w:t>采购单位故意推迟项目验收时间的，与</w:t>
      </w:r>
      <w:r>
        <w:rPr>
          <w:rFonts w:hint="eastAsia"/>
          <w:szCs w:val="21"/>
        </w:rPr>
        <w:t>中标人</w:t>
      </w:r>
      <w:r>
        <w:rPr>
          <w:rFonts w:hint="eastAsia"/>
          <w:szCs w:val="21"/>
          <w:lang w:val="en-GB"/>
        </w:rPr>
        <w:t>串通或要求</w:t>
      </w:r>
      <w:r>
        <w:rPr>
          <w:rFonts w:hint="eastAsia"/>
          <w:szCs w:val="21"/>
        </w:rPr>
        <w:t>中标人</w:t>
      </w:r>
      <w:r>
        <w:rPr>
          <w:rFonts w:hint="eastAsia"/>
          <w:szCs w:val="21"/>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szCs w:val="21"/>
        </w:rPr>
        <w:t>。</w:t>
      </w:r>
    </w:p>
    <w:p>
      <w:pPr>
        <w:spacing w:line="360" w:lineRule="auto"/>
        <w:ind w:left="-360" w:firstLine="440" w:firstLineChars="200"/>
        <w:rPr>
          <w:szCs w:val="21"/>
          <w:lang w:val="en-GB"/>
        </w:rPr>
      </w:pPr>
      <w:r>
        <w:rPr>
          <w:rFonts w:hint="eastAsia"/>
          <w:szCs w:val="21"/>
        </w:rPr>
        <w:t>7</w:t>
      </w:r>
      <w:r>
        <w:rPr>
          <w:rFonts w:hint="eastAsia"/>
          <w:szCs w:val="21"/>
          <w:lang w:val="en-GB"/>
        </w:rPr>
        <w:t>、中标人如不能在招标文件规定的时限内完成项目，每延误一天罚人民币1000元整。</w:t>
      </w:r>
    </w:p>
    <w:p>
      <w:pPr>
        <w:spacing w:line="360" w:lineRule="auto"/>
        <w:ind w:left="-360" w:firstLine="440" w:firstLineChars="200"/>
        <w:rPr>
          <w:szCs w:val="21"/>
          <w:lang w:val="en-GB"/>
        </w:rPr>
      </w:pPr>
      <w:r>
        <w:rPr>
          <w:rFonts w:hint="eastAsia"/>
          <w:szCs w:val="21"/>
        </w:rPr>
        <w:t>8、成交供应商必须在中标（成交）通知书发出之日起三十日内与采购人签订合同。</w:t>
      </w:r>
    </w:p>
    <w:p>
      <w:pPr>
        <w:spacing w:line="360" w:lineRule="auto"/>
        <w:ind w:left="-360" w:firstLine="440" w:firstLineChars="200"/>
        <w:rPr>
          <w:szCs w:val="21"/>
          <w:lang w:val="en-GB"/>
        </w:rPr>
      </w:pPr>
      <w:r>
        <w:rPr>
          <w:rFonts w:hint="eastAsia"/>
          <w:szCs w:val="21"/>
        </w:rPr>
        <w:t>所签合同不得对采购文件作实质性修改。采购单位不得向供应商提出不合理的要求作为签订合同的条件，不得与供应商私下订立背离采购文件实质性内容的协议。</w:t>
      </w: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pStyle w:val="2"/>
        <w:rPr>
          <w:rFonts w:hint="eastAsia" w:asciiTheme="minorEastAsia" w:hAnsiTheme="minorEastAsia" w:eastAsiaTheme="minorEastAsia"/>
        </w:rPr>
      </w:pPr>
    </w:p>
    <w:p>
      <w:pPr>
        <w:ind w:left="11"/>
        <w:jc w:val="center"/>
        <w:rPr>
          <w:rFonts w:asciiTheme="minorEastAsia" w:hAnsiTheme="minorEastAsia" w:eastAsiaTheme="minorEastAsia"/>
          <w:b/>
          <w:sz w:val="36"/>
        </w:rPr>
      </w:pPr>
      <w:r>
        <w:rPr>
          <w:rFonts w:asciiTheme="minorEastAsia" w:hAnsiTheme="minorEastAsia" w:eastAsiaTheme="minorEastAsia"/>
          <w:b/>
          <w:sz w:val="36"/>
        </w:rPr>
        <w:t>第六部分 质疑提出和处理</w:t>
      </w:r>
    </w:p>
    <w:p>
      <w:pPr>
        <w:pStyle w:val="10"/>
        <w:spacing w:before="135"/>
        <w:ind w:left="895"/>
        <w:rPr>
          <w:rFonts w:asciiTheme="minorEastAsia" w:hAnsiTheme="minorEastAsia" w:eastAsiaTheme="minorEastAsia"/>
        </w:rPr>
      </w:pPr>
      <w:r>
        <w:rPr>
          <w:rFonts w:asciiTheme="minorEastAsia" w:hAnsiTheme="minorEastAsia" w:eastAsiaTheme="minorEastAsia"/>
        </w:rPr>
        <w:t>一、质疑的提出</w:t>
      </w:r>
    </w:p>
    <w:p>
      <w:pPr>
        <w:pStyle w:val="2"/>
        <w:spacing w:before="47"/>
        <w:ind w:left="893"/>
        <w:rPr>
          <w:rFonts w:asciiTheme="minorEastAsia" w:hAnsiTheme="minorEastAsia" w:eastAsiaTheme="minorEastAsia"/>
        </w:rPr>
      </w:pPr>
      <w:r>
        <w:rPr>
          <w:rFonts w:asciiTheme="minorEastAsia" w:hAnsiTheme="minorEastAsia" w:eastAsiaTheme="minorEastAsia"/>
        </w:rPr>
        <w:t>1、质疑人必须是直接参加本次招标活动的当事人。</w:t>
      </w:r>
    </w:p>
    <w:p>
      <w:pPr>
        <w:pStyle w:val="2"/>
        <w:spacing w:before="12" w:line="252" w:lineRule="auto"/>
        <w:ind w:left="472" w:right="455" w:firstLine="420"/>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spacing w:val="-11"/>
        </w:rPr>
        <w:t>、供应商下载招</w:t>
      </w:r>
      <w:bookmarkStart w:id="7" w:name="_GoBack"/>
      <w:bookmarkEnd w:id="7"/>
      <w:r>
        <w:rPr>
          <w:rFonts w:asciiTheme="minorEastAsia" w:hAnsiTheme="minorEastAsia" w:eastAsiaTheme="minorEastAsia"/>
          <w:spacing w:val="-11"/>
        </w:rPr>
        <w:t>标文件后，应仔细检查招标文件的所有内容，如对本次招标文件存在疑问，请将书</w:t>
      </w:r>
      <w:r>
        <w:rPr>
          <w:rFonts w:asciiTheme="minorEastAsia" w:hAnsiTheme="minorEastAsia" w:eastAsiaTheme="minorEastAsia"/>
          <w:spacing w:val="-10"/>
        </w:rPr>
        <w:t xml:space="preserve">面询问文件在投标截止时间 </w:t>
      </w:r>
      <w:r>
        <w:rPr>
          <w:rFonts w:asciiTheme="minorEastAsia" w:hAnsiTheme="minorEastAsia" w:eastAsiaTheme="minorEastAsia"/>
        </w:rPr>
        <w:t>24</w:t>
      </w:r>
      <w:r>
        <w:rPr>
          <w:rFonts w:asciiTheme="minorEastAsia" w:hAnsiTheme="minorEastAsia" w:eastAsiaTheme="minorEastAsia"/>
          <w:spacing w:val="-9"/>
        </w:rPr>
        <w:t xml:space="preserve"> 小时前送至采购单位</w:t>
      </w:r>
      <w:r>
        <w:rPr>
          <w:rFonts w:hint="eastAsia" w:asciiTheme="minorEastAsia" w:hAnsiTheme="minorEastAsia" w:eastAsiaTheme="minorEastAsia"/>
          <w:spacing w:val="-9"/>
          <w:lang w:val="en-US" w:eastAsia="zh-CN"/>
        </w:rPr>
        <w:t>或代理公司</w:t>
      </w:r>
      <w:r>
        <w:rPr>
          <w:rFonts w:asciiTheme="minorEastAsia" w:hAnsiTheme="minorEastAsia" w:eastAsiaTheme="minorEastAsia"/>
          <w:spacing w:val="-9"/>
        </w:rPr>
        <w:t>。</w:t>
      </w:r>
    </w:p>
    <w:p>
      <w:pPr>
        <w:pStyle w:val="2"/>
        <w:spacing w:line="249" w:lineRule="auto"/>
        <w:ind w:left="472" w:right="269" w:firstLine="420"/>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spacing w:val="-3"/>
        </w:rPr>
        <w:t>、提出质疑时，必须坚持“谁主张，谁举证”、“实事求是”的原则，不能臆测。属于须由法定部</w:t>
      </w:r>
      <w:r>
        <w:rPr>
          <w:rFonts w:asciiTheme="minorEastAsia" w:hAnsiTheme="minorEastAsia" w:eastAsiaTheme="minorEastAsia"/>
          <w:spacing w:val="-5"/>
        </w:rPr>
        <w:t>门调查、侦查或先行作出相关认定的事项，质疑人应当依法申请具有法定职权的部门查清、认定，并将相</w:t>
      </w:r>
      <w:r>
        <w:rPr>
          <w:rFonts w:asciiTheme="minorEastAsia" w:hAnsiTheme="minorEastAsia" w:eastAsiaTheme="minorEastAsia"/>
          <w:spacing w:val="-4"/>
        </w:rPr>
        <w:t>关结果提供给采购人。采购人不具有法定调查、认定权限。</w:t>
      </w:r>
    </w:p>
    <w:p>
      <w:pPr>
        <w:pStyle w:val="2"/>
        <w:spacing w:line="249" w:lineRule="auto"/>
        <w:ind w:left="472" w:right="350" w:firstLine="420"/>
        <w:rPr>
          <w:rFonts w:asciiTheme="minorEastAsia" w:hAnsiTheme="minorEastAsia" w:eastAsiaTheme="minorEastAsia"/>
        </w:rPr>
      </w:pPr>
      <w:r>
        <w:rPr>
          <w:rFonts w:asciiTheme="minorEastAsia" w:hAnsiTheme="minorEastAsia" w:eastAsiaTheme="minorEastAsia"/>
        </w:rPr>
        <w:t>4</w:t>
      </w:r>
      <w:r>
        <w:rPr>
          <w:rFonts w:asciiTheme="minorEastAsia" w:hAnsiTheme="minorEastAsia" w:eastAsiaTheme="minorEastAsia"/>
          <w:spacing w:val="-11"/>
        </w:rPr>
        <w:t>、对本次招标有质疑的，实行实名制，不得进行虚假、恶意质疑。质疑人应在质疑有效期内以书面</w:t>
      </w:r>
      <w:r>
        <w:rPr>
          <w:rFonts w:asciiTheme="minorEastAsia" w:hAnsiTheme="minorEastAsia" w:eastAsiaTheme="minorEastAsia"/>
          <w:spacing w:val="-6"/>
        </w:rPr>
        <w:t>形式提出《质疑函》</w:t>
      </w:r>
      <w:r>
        <w:rPr>
          <w:rFonts w:asciiTheme="minorEastAsia" w:hAnsiTheme="minorEastAsia" w:eastAsiaTheme="minorEastAsia"/>
        </w:rPr>
        <w:t>（</w:t>
      </w:r>
      <w:r>
        <w:rPr>
          <w:rFonts w:asciiTheme="minorEastAsia" w:hAnsiTheme="minorEastAsia" w:eastAsiaTheme="minorEastAsia"/>
          <w:spacing w:val="-3"/>
        </w:rPr>
        <w:t>格式请下载</w:t>
      </w:r>
      <w:r>
        <w:rPr>
          <w:rFonts w:asciiTheme="minorEastAsia" w:hAnsiTheme="minorEastAsia" w:eastAsiaTheme="minorEastAsia"/>
        </w:rPr>
        <w:t>）</w:t>
      </w:r>
      <w:r>
        <w:rPr>
          <w:rFonts w:asciiTheme="minorEastAsia" w:hAnsiTheme="minorEastAsia" w:eastAsiaTheme="minorEastAsia"/>
          <w:spacing w:val="-3"/>
        </w:rPr>
        <w:t>，《质疑函》内容应包括质疑事项、主要内容、事实依据、适应法</w:t>
      </w:r>
      <w:r>
        <w:rPr>
          <w:rFonts w:asciiTheme="minorEastAsia" w:hAnsiTheme="minorEastAsia" w:eastAsiaTheme="minorEastAsia"/>
          <w:spacing w:val="-13"/>
        </w:rPr>
        <w:t>规条款、佐证材料等。同时，质疑人应保证其提出的质疑内容及相关佐证材料的真实性及来源的合法性，</w:t>
      </w:r>
      <w:r>
        <w:rPr>
          <w:rFonts w:asciiTheme="minorEastAsia" w:hAnsiTheme="minorEastAsia" w:eastAsiaTheme="minorEastAsia"/>
          <w:spacing w:val="-6"/>
        </w:rPr>
        <w:t>并承担相应的法律责任。</w:t>
      </w:r>
    </w:p>
    <w:p>
      <w:pPr>
        <w:pStyle w:val="2"/>
        <w:spacing w:line="249" w:lineRule="auto"/>
        <w:ind w:left="472" w:right="455"/>
        <w:rPr>
          <w:rFonts w:asciiTheme="minorEastAsia" w:hAnsiTheme="minorEastAsia" w:eastAsiaTheme="minorEastAsia"/>
        </w:rPr>
      </w:pPr>
      <w:r>
        <w:rPr>
          <w:rFonts w:asciiTheme="minorEastAsia" w:hAnsiTheme="minorEastAsia" w:eastAsiaTheme="minorEastAsia"/>
        </w:rPr>
        <w:t>对不能提供相关佐证材料的、涉及商业秘密的、非书面形式的、非送达的、匿名的《质疑函》将不予受理。</w:t>
      </w:r>
    </w:p>
    <w:p>
      <w:pPr>
        <w:pStyle w:val="2"/>
        <w:spacing w:line="252" w:lineRule="auto"/>
        <w:ind w:left="472" w:right="456"/>
        <w:rPr>
          <w:rFonts w:asciiTheme="minorEastAsia" w:hAnsiTheme="minorEastAsia" w:eastAsiaTheme="minorEastAsia"/>
        </w:rPr>
      </w:pPr>
      <w:r>
        <w:rPr>
          <w:rFonts w:asciiTheme="minorEastAsia" w:hAnsiTheme="minorEastAsia" w:eastAsiaTheme="minorEastAsia"/>
        </w:rPr>
        <w:t>相关佐证材料要具备客观性、关联性、合法性，无法查实的（如宣传册、媒体报道、猜测、推理等）不能作为佐证材料。</w:t>
      </w:r>
    </w:p>
    <w:p>
      <w:pPr>
        <w:pStyle w:val="2"/>
        <w:spacing w:line="266" w:lineRule="exact"/>
        <w:ind w:left="893"/>
        <w:rPr>
          <w:rFonts w:asciiTheme="minorEastAsia" w:hAnsiTheme="minorEastAsia" w:eastAsiaTheme="minorEastAsia"/>
        </w:rPr>
      </w:pPr>
      <w:r>
        <w:rPr>
          <w:rFonts w:asciiTheme="minorEastAsia" w:hAnsiTheme="minorEastAsia" w:eastAsiaTheme="minorEastAsia"/>
        </w:rPr>
        <w:t>5、本项目要求供应商在法定质疑期内一次性提出针对同一采购程序环节的质疑。</w:t>
      </w:r>
    </w:p>
    <w:p>
      <w:pPr>
        <w:pStyle w:val="2"/>
        <w:spacing w:before="6" w:line="249" w:lineRule="auto"/>
        <w:ind w:left="472" w:right="455" w:firstLine="420"/>
        <w:rPr>
          <w:rFonts w:asciiTheme="minorEastAsia" w:hAnsiTheme="minorEastAsia" w:eastAsiaTheme="minorEastAsia"/>
        </w:rPr>
      </w:pPr>
      <w:r>
        <w:rPr>
          <w:rFonts w:asciiTheme="minorEastAsia" w:hAnsiTheme="minorEastAsia" w:eastAsiaTheme="minorEastAsia"/>
        </w:rPr>
        <w:t>6</w:t>
      </w:r>
      <w:r>
        <w:rPr>
          <w:rFonts w:asciiTheme="minorEastAsia" w:hAnsiTheme="minorEastAsia" w:eastAsiaTheme="minorEastAsia"/>
          <w:spacing w:val="-11"/>
        </w:rPr>
        <w:t>、提供报名回执的复印件，由供应商法人代表签字或盖章，并加盖供应商公章，对不能提供的将不</w:t>
      </w:r>
      <w:r>
        <w:rPr>
          <w:rFonts w:asciiTheme="minorEastAsia" w:hAnsiTheme="minorEastAsia" w:eastAsiaTheme="minorEastAsia"/>
          <w:spacing w:val="-7"/>
        </w:rPr>
        <w:t>予受理。</w:t>
      </w:r>
    </w:p>
    <w:p>
      <w:pPr>
        <w:pStyle w:val="10"/>
        <w:spacing w:before="1"/>
        <w:ind w:left="895"/>
        <w:rPr>
          <w:rFonts w:asciiTheme="minorEastAsia" w:hAnsiTheme="minorEastAsia" w:eastAsiaTheme="minorEastAsia"/>
        </w:rPr>
      </w:pPr>
      <w:r>
        <w:rPr>
          <w:rFonts w:asciiTheme="minorEastAsia" w:hAnsiTheme="minorEastAsia" w:eastAsiaTheme="minorEastAsia"/>
        </w:rPr>
        <w:t>二、《质疑函》的受理和回复</w:t>
      </w:r>
    </w:p>
    <w:p>
      <w:pPr>
        <w:pStyle w:val="2"/>
        <w:spacing w:before="10"/>
        <w:ind w:left="893"/>
        <w:rPr>
          <w:rFonts w:asciiTheme="minorEastAsia" w:hAnsiTheme="minorEastAsia" w:eastAsiaTheme="minorEastAsia"/>
        </w:rPr>
      </w:pPr>
      <w:r>
        <w:rPr>
          <w:rFonts w:asciiTheme="minorEastAsia" w:hAnsiTheme="minorEastAsia" w:eastAsiaTheme="minorEastAsia"/>
        </w:rPr>
        <w:t>1、《质疑函》须由质疑人的法定代表人或参加本次招标授权人送达采购单位和招标人。</w:t>
      </w:r>
    </w:p>
    <w:p>
      <w:pPr>
        <w:pStyle w:val="2"/>
        <w:spacing w:before="12" w:line="249" w:lineRule="auto"/>
        <w:ind w:left="472" w:right="350" w:firstLine="420"/>
        <w:rPr>
          <w:rFonts w:asciiTheme="minorEastAsia" w:hAnsiTheme="minorEastAsia" w:eastAsiaTheme="minorEastAsia"/>
        </w:rPr>
      </w:pPr>
      <w:r>
        <w:rPr>
          <w:rFonts w:asciiTheme="minorEastAsia" w:hAnsiTheme="minorEastAsia" w:eastAsiaTheme="minorEastAsia"/>
        </w:rPr>
        <w:t>2、在处理过程中，发现需要质疑人进一步补充相关佐证材料的，请质疑人在规定的时间内提供，质疑回复时间相应顺延。质疑人不能按时提供相关佐证材料的，视同放弃质疑。</w:t>
      </w:r>
    </w:p>
    <w:p>
      <w:pPr>
        <w:pStyle w:val="10"/>
        <w:spacing w:before="0" w:line="269" w:lineRule="exact"/>
        <w:ind w:left="895"/>
        <w:rPr>
          <w:rFonts w:asciiTheme="minorEastAsia" w:hAnsiTheme="minorEastAsia" w:eastAsiaTheme="minorEastAsia"/>
        </w:rPr>
      </w:pPr>
      <w:r>
        <w:rPr>
          <w:rFonts w:asciiTheme="minorEastAsia" w:hAnsiTheme="minorEastAsia" w:eastAsiaTheme="minorEastAsia"/>
        </w:rPr>
        <w:t>三、质疑处理</w:t>
      </w:r>
    </w:p>
    <w:p>
      <w:pPr>
        <w:spacing w:before="11"/>
        <w:ind w:left="895"/>
        <w:rPr>
          <w:rFonts w:asciiTheme="minorEastAsia" w:hAnsiTheme="minorEastAsia" w:eastAsiaTheme="minorEastAsia"/>
          <w:sz w:val="21"/>
        </w:rPr>
      </w:pPr>
      <w:r>
        <w:rPr>
          <w:rFonts w:asciiTheme="minorEastAsia" w:hAnsiTheme="minorEastAsia" w:eastAsiaTheme="minorEastAsia"/>
          <w:b/>
          <w:sz w:val="21"/>
        </w:rPr>
        <w:t>1、质疑成立的处理。</w:t>
      </w:r>
      <w:r>
        <w:rPr>
          <w:rFonts w:asciiTheme="minorEastAsia" w:hAnsiTheme="minorEastAsia" w:eastAsiaTheme="minorEastAsia"/>
          <w:sz w:val="21"/>
        </w:rPr>
        <w:t>中华人民共和国财政部令第94号《政府采购质疑和投诉办法》处理。</w:t>
      </w:r>
    </w:p>
    <w:p>
      <w:pPr>
        <w:pStyle w:val="10"/>
        <w:spacing w:before="12"/>
        <w:ind w:left="895"/>
        <w:rPr>
          <w:rFonts w:asciiTheme="minorEastAsia" w:hAnsiTheme="minorEastAsia" w:eastAsiaTheme="minorEastAsia"/>
        </w:rPr>
      </w:pPr>
      <w:r>
        <w:rPr>
          <w:rFonts w:asciiTheme="minorEastAsia" w:hAnsiTheme="minorEastAsia" w:eastAsiaTheme="minorEastAsia"/>
        </w:rPr>
        <w:t>2、质疑不成立的处理。</w:t>
      </w:r>
    </w:p>
    <w:p>
      <w:pPr>
        <w:pStyle w:val="29"/>
        <w:numPr>
          <w:ilvl w:val="0"/>
          <w:numId w:val="2"/>
        </w:numPr>
        <w:tabs>
          <w:tab w:val="left" w:pos="1212"/>
        </w:tabs>
        <w:spacing w:before="9"/>
        <w:ind w:hanging="319"/>
        <w:rPr>
          <w:rFonts w:asciiTheme="minorEastAsia" w:hAnsiTheme="minorEastAsia" w:eastAsiaTheme="minorEastAsia"/>
          <w:sz w:val="21"/>
        </w:rPr>
      </w:pPr>
      <w:r>
        <w:rPr>
          <w:rFonts w:asciiTheme="minorEastAsia" w:hAnsiTheme="minorEastAsia" w:eastAsiaTheme="minorEastAsia"/>
          <w:spacing w:val="-3"/>
          <w:sz w:val="21"/>
        </w:rPr>
        <w:t>质疑人书面《申请撤回质疑函》的，不作违约处理。</w:t>
      </w:r>
    </w:p>
    <w:p>
      <w:pPr>
        <w:pStyle w:val="29"/>
        <w:numPr>
          <w:ilvl w:val="0"/>
          <w:numId w:val="2"/>
        </w:numPr>
        <w:tabs>
          <w:tab w:val="left" w:pos="1212"/>
        </w:tabs>
        <w:spacing w:before="12"/>
        <w:ind w:hanging="319"/>
        <w:rPr>
          <w:rFonts w:asciiTheme="minorEastAsia" w:hAnsiTheme="minorEastAsia" w:eastAsiaTheme="minorEastAsia"/>
          <w:sz w:val="21"/>
        </w:rPr>
      </w:pPr>
      <w:r>
        <w:rPr>
          <w:rFonts w:asciiTheme="minorEastAsia" w:hAnsiTheme="minorEastAsia" w:eastAsiaTheme="minorEastAsia"/>
          <w:spacing w:val="-3"/>
          <w:sz w:val="21"/>
        </w:rPr>
        <w:t>质疑人在规定的时间内不配合进行质疑调查处理的，按自动撤回《质疑函》处理。</w:t>
      </w:r>
    </w:p>
    <w:p>
      <w:pPr>
        <w:pStyle w:val="29"/>
        <w:numPr>
          <w:ilvl w:val="0"/>
          <w:numId w:val="2"/>
        </w:numPr>
        <w:tabs>
          <w:tab w:val="left" w:pos="1212"/>
        </w:tabs>
        <w:spacing w:before="12" w:line="247" w:lineRule="auto"/>
        <w:ind w:left="472" w:right="458" w:firstLine="420"/>
        <w:rPr>
          <w:rFonts w:asciiTheme="minorEastAsia" w:hAnsiTheme="minorEastAsia" w:eastAsiaTheme="minorEastAsia"/>
          <w:sz w:val="21"/>
        </w:rPr>
      </w:pPr>
      <w:r>
        <w:rPr>
          <w:rFonts w:asciiTheme="minorEastAsia" w:hAnsiTheme="minorEastAsia" w:eastAsiaTheme="minorEastAsia"/>
          <w:spacing w:val="-9"/>
          <w:sz w:val="21"/>
        </w:rPr>
        <w:t xml:space="preserve">质疑人不按《质疑函》格式就提出质疑的，作违约处理。招标人有权收取其保证金的 </w:t>
      </w:r>
      <w:r>
        <w:rPr>
          <w:rFonts w:asciiTheme="minorEastAsia" w:hAnsiTheme="minorEastAsia" w:eastAsiaTheme="minorEastAsia"/>
          <w:sz w:val="21"/>
        </w:rPr>
        <w:t>10</w:t>
      </w:r>
      <w:r>
        <w:rPr>
          <w:rFonts w:asciiTheme="minorEastAsia" w:hAnsiTheme="minorEastAsia" w:eastAsiaTheme="minorEastAsia"/>
          <w:spacing w:val="-1"/>
          <w:sz w:val="21"/>
        </w:rPr>
        <w:t>%作为违</w:t>
      </w:r>
      <w:r>
        <w:rPr>
          <w:rFonts w:asciiTheme="minorEastAsia" w:hAnsiTheme="minorEastAsia" w:eastAsiaTheme="minorEastAsia"/>
          <w:spacing w:val="-3"/>
          <w:sz w:val="21"/>
        </w:rPr>
        <w:t>约金；同时，视情列入不良供应商名单。</w:t>
      </w:r>
    </w:p>
    <w:p>
      <w:pPr>
        <w:pStyle w:val="29"/>
        <w:numPr>
          <w:ilvl w:val="0"/>
          <w:numId w:val="2"/>
        </w:numPr>
        <w:tabs>
          <w:tab w:val="left" w:pos="1212"/>
        </w:tabs>
        <w:spacing w:before="5" w:line="249" w:lineRule="auto"/>
        <w:ind w:left="472" w:right="350" w:firstLine="420"/>
        <w:rPr>
          <w:rFonts w:asciiTheme="minorEastAsia" w:hAnsiTheme="minorEastAsia" w:eastAsiaTheme="minorEastAsia"/>
          <w:sz w:val="21"/>
        </w:rPr>
      </w:pPr>
      <w:r>
        <w:rPr>
          <w:rFonts w:asciiTheme="minorEastAsia" w:hAnsiTheme="minorEastAsia" w:eastAsiaTheme="minorEastAsia"/>
          <w:spacing w:val="-3"/>
          <w:sz w:val="21"/>
        </w:rPr>
        <w:t xml:space="preserve">质疑人虽提供了相关佐证材料，但不能证明其质疑成立的，招标人请质疑人补充相关佐证材料， </w:t>
      </w:r>
      <w:r>
        <w:rPr>
          <w:rFonts w:asciiTheme="minorEastAsia" w:hAnsiTheme="minorEastAsia" w:eastAsiaTheme="minorEastAsia"/>
          <w:spacing w:val="-5"/>
          <w:sz w:val="21"/>
        </w:rPr>
        <w:t xml:space="preserve">仍不能证明其质疑成立的，作违约处理。招标人有权收取其保证金的 </w:t>
      </w:r>
      <w:r>
        <w:rPr>
          <w:rFonts w:asciiTheme="minorEastAsia" w:hAnsiTheme="minorEastAsia" w:eastAsiaTheme="minorEastAsia"/>
          <w:sz w:val="21"/>
        </w:rPr>
        <w:t>50</w:t>
      </w:r>
      <w:r>
        <w:rPr>
          <w:rFonts w:asciiTheme="minorEastAsia" w:hAnsiTheme="minorEastAsia" w:eastAsiaTheme="minorEastAsia"/>
          <w:spacing w:val="-3"/>
          <w:sz w:val="21"/>
        </w:rPr>
        <w:t>%作为违约金；同时，列入不良供应商名单。</w:t>
      </w:r>
    </w:p>
    <w:p>
      <w:pPr>
        <w:pStyle w:val="29"/>
        <w:numPr>
          <w:ilvl w:val="0"/>
          <w:numId w:val="2"/>
        </w:numPr>
        <w:tabs>
          <w:tab w:val="left" w:pos="1212"/>
        </w:tabs>
        <w:spacing w:before="1" w:line="249" w:lineRule="auto"/>
        <w:ind w:left="472" w:right="453" w:firstLine="420"/>
        <w:rPr>
          <w:rFonts w:asciiTheme="minorEastAsia" w:hAnsiTheme="minorEastAsia" w:eastAsiaTheme="minorEastAsia"/>
          <w:sz w:val="21"/>
        </w:rPr>
      </w:pPr>
      <w:r>
        <w:rPr>
          <w:rFonts w:asciiTheme="minorEastAsia" w:hAnsiTheme="minorEastAsia" w:eastAsiaTheme="minorEastAsia"/>
          <w:spacing w:val="-8"/>
          <w:sz w:val="21"/>
        </w:rPr>
        <w:t xml:space="preserve">质疑人不能提供相关佐证材料的，招标人已指出，质疑人仍然坚持提出质疑的，作违约处理。 </w:t>
      </w:r>
      <w:r>
        <w:rPr>
          <w:rFonts w:asciiTheme="minorEastAsia" w:hAnsiTheme="minorEastAsia" w:eastAsiaTheme="minorEastAsia"/>
          <w:spacing w:val="-7"/>
          <w:sz w:val="21"/>
        </w:rPr>
        <w:t>招标人有权收取其保证金的</w:t>
      </w:r>
      <w:r>
        <w:rPr>
          <w:rFonts w:hint="eastAsia" w:asciiTheme="minorEastAsia" w:hAnsiTheme="minorEastAsia" w:eastAsiaTheme="minorEastAsia"/>
          <w:spacing w:val="-7"/>
          <w:sz w:val="21"/>
          <w:lang w:val="en-US" w:eastAsia="zh-CN"/>
        </w:rPr>
        <w:t xml:space="preserve"> </w:t>
      </w:r>
      <w:r>
        <w:rPr>
          <w:rFonts w:asciiTheme="minorEastAsia" w:hAnsiTheme="minorEastAsia" w:eastAsiaTheme="minorEastAsia"/>
          <w:sz w:val="21"/>
        </w:rPr>
        <w:t>100%</w:t>
      </w:r>
      <w:r>
        <w:rPr>
          <w:rFonts w:asciiTheme="minorEastAsia" w:hAnsiTheme="minorEastAsia" w:eastAsiaTheme="minorEastAsia"/>
          <w:spacing w:val="-6"/>
          <w:sz w:val="21"/>
        </w:rPr>
        <w:t>作为违约金；取消相应会员资格</w:t>
      </w:r>
      <w:r>
        <w:rPr>
          <w:rFonts w:hint="eastAsia" w:asciiTheme="minorEastAsia" w:hAnsiTheme="minorEastAsia" w:eastAsiaTheme="minorEastAsia"/>
          <w:spacing w:val="-6"/>
          <w:sz w:val="21"/>
          <w:lang w:val="en-US" w:eastAsia="zh-CN"/>
        </w:rPr>
        <w:t xml:space="preserve"> </w:t>
      </w:r>
      <w:r>
        <w:rPr>
          <w:rFonts w:asciiTheme="minorEastAsia" w:hAnsiTheme="minorEastAsia" w:eastAsiaTheme="minorEastAsia"/>
          <w:sz w:val="21"/>
        </w:rPr>
        <w:t>6</w:t>
      </w:r>
      <w:r>
        <w:rPr>
          <w:rFonts w:hint="eastAsia" w:asciiTheme="minorEastAsia" w:hAnsiTheme="minorEastAsia" w:eastAsiaTheme="minorEastAsia"/>
          <w:sz w:val="21"/>
          <w:lang w:val="en-US" w:eastAsia="zh-CN"/>
        </w:rPr>
        <w:t xml:space="preserve"> </w:t>
      </w:r>
      <w:r>
        <w:rPr>
          <w:rFonts w:asciiTheme="minorEastAsia" w:hAnsiTheme="minorEastAsia" w:eastAsiaTheme="minorEastAsia"/>
          <w:spacing w:val="-8"/>
          <w:sz w:val="21"/>
        </w:rPr>
        <w:t>个月，同时，列入不良供应商名单。</w:t>
      </w:r>
    </w:p>
    <w:p>
      <w:pPr>
        <w:pStyle w:val="29"/>
        <w:numPr>
          <w:ilvl w:val="0"/>
          <w:numId w:val="2"/>
        </w:numPr>
        <w:tabs>
          <w:tab w:val="left" w:pos="1212"/>
        </w:tabs>
        <w:spacing w:line="249" w:lineRule="auto"/>
        <w:ind w:left="472" w:right="350" w:firstLine="420"/>
        <w:jc w:val="both"/>
        <w:rPr>
          <w:rFonts w:asciiTheme="minorEastAsia" w:hAnsiTheme="minorEastAsia" w:eastAsiaTheme="minorEastAsia"/>
          <w:sz w:val="21"/>
        </w:rPr>
      </w:pPr>
      <w:r>
        <w:rPr>
          <w:rFonts w:asciiTheme="minorEastAsia" w:hAnsiTheme="minorEastAsia" w:eastAsiaTheme="minorEastAsia"/>
          <w:spacing w:val="-8"/>
          <w:sz w:val="21"/>
        </w:rPr>
        <w:t>对明显有违背事实的、经相关专家或评委认定无依据的、经其他投标人举证无依据的质疑，作违</w:t>
      </w:r>
      <w:r>
        <w:rPr>
          <w:rFonts w:asciiTheme="minorEastAsia" w:hAnsiTheme="minorEastAsia" w:eastAsiaTheme="minorEastAsia"/>
          <w:spacing w:val="-7"/>
          <w:sz w:val="21"/>
        </w:rPr>
        <w:t xml:space="preserve">约处理，招标人有权取消其会员资格，收取其保证金的 </w:t>
      </w:r>
      <w:r>
        <w:rPr>
          <w:rFonts w:asciiTheme="minorEastAsia" w:hAnsiTheme="minorEastAsia" w:eastAsiaTheme="minorEastAsia"/>
          <w:sz w:val="21"/>
        </w:rPr>
        <w:t>100</w:t>
      </w:r>
      <w:r>
        <w:rPr>
          <w:rFonts w:asciiTheme="minorEastAsia" w:hAnsiTheme="minorEastAsia" w:eastAsiaTheme="minorEastAsia"/>
          <w:spacing w:val="-3"/>
          <w:sz w:val="21"/>
        </w:rPr>
        <w:t>%作为违约金，列入不良供应商名单；同时，</w:t>
      </w:r>
      <w:r>
        <w:rPr>
          <w:rFonts w:asciiTheme="minorEastAsia" w:hAnsiTheme="minorEastAsia" w:eastAsiaTheme="minorEastAsia"/>
          <w:spacing w:val="-5"/>
          <w:sz w:val="21"/>
        </w:rPr>
        <w:t xml:space="preserve">对其中每一项不成立的质疑给予质疑人 </w:t>
      </w:r>
      <w:r>
        <w:rPr>
          <w:rFonts w:asciiTheme="minorEastAsia" w:hAnsiTheme="minorEastAsia" w:eastAsiaTheme="minorEastAsia"/>
          <w:sz w:val="21"/>
        </w:rPr>
        <w:t>1</w:t>
      </w:r>
      <w:r>
        <w:rPr>
          <w:rFonts w:asciiTheme="minorEastAsia" w:hAnsiTheme="minorEastAsia" w:eastAsiaTheme="minorEastAsia"/>
          <w:spacing w:val="-12"/>
          <w:sz w:val="21"/>
        </w:rPr>
        <w:t xml:space="preserve"> 年内禁入由招标人组织的政府采购活动的违约处理，依次类推；</w:t>
      </w:r>
      <w:r>
        <w:rPr>
          <w:rFonts w:asciiTheme="minorEastAsia" w:hAnsiTheme="minorEastAsia" w:eastAsiaTheme="minorEastAsia"/>
          <w:spacing w:val="-6"/>
          <w:sz w:val="21"/>
        </w:rPr>
        <w:t>视情在南通市公共资源交易中心网、省、国家级相关媒体予以披露。</w:t>
      </w:r>
    </w:p>
    <w:p>
      <w:pPr>
        <w:pStyle w:val="29"/>
        <w:numPr>
          <w:ilvl w:val="0"/>
          <w:numId w:val="2"/>
        </w:numPr>
        <w:tabs>
          <w:tab w:val="left" w:pos="1212"/>
        </w:tabs>
        <w:spacing w:before="1"/>
        <w:ind w:hanging="319"/>
        <w:rPr>
          <w:rFonts w:asciiTheme="minorEastAsia" w:hAnsiTheme="minorEastAsia" w:eastAsiaTheme="minorEastAsia"/>
          <w:sz w:val="21"/>
        </w:rPr>
      </w:pPr>
      <w:r>
        <w:rPr>
          <w:rFonts w:asciiTheme="minorEastAsia" w:hAnsiTheme="minorEastAsia" w:eastAsiaTheme="minorEastAsia"/>
          <w:spacing w:val="-3"/>
          <w:sz w:val="21"/>
        </w:rPr>
        <w:t>质疑人承担使用虚假材料或恶意方式质疑的法律责任。</w:t>
      </w:r>
    </w:p>
    <w:p>
      <w:pPr>
        <w:pStyle w:val="2"/>
        <w:spacing w:before="12" w:line="249" w:lineRule="auto"/>
        <w:ind w:left="472" w:right="230" w:firstLine="420"/>
        <w:jc w:val="both"/>
        <w:rPr>
          <w:rFonts w:asciiTheme="minorEastAsia" w:hAnsiTheme="minorEastAsia" w:eastAsiaTheme="minorEastAsia"/>
        </w:rPr>
      </w:pPr>
      <w:r>
        <w:rPr>
          <w:rFonts w:asciiTheme="minorEastAsia" w:hAnsiTheme="minorEastAsia" w:eastAsiaTheme="minorEastAsia"/>
          <w:b/>
          <w:spacing w:val="-1"/>
        </w:rPr>
        <w:t>四、无佐证材料的举报作违约处理。</w:t>
      </w:r>
      <w:r>
        <w:rPr>
          <w:rFonts w:asciiTheme="minorEastAsia" w:hAnsiTheme="minorEastAsia" w:eastAsiaTheme="minorEastAsia"/>
          <w:spacing w:val="-3"/>
        </w:rPr>
        <w:t>供应商不得进行不提供相关佐证材料</w:t>
      </w:r>
      <w:r>
        <w:rPr>
          <w:rFonts w:asciiTheme="minorEastAsia" w:hAnsiTheme="minorEastAsia" w:eastAsiaTheme="minorEastAsia"/>
        </w:rPr>
        <w:t>（</w:t>
      </w:r>
      <w:r>
        <w:rPr>
          <w:rFonts w:asciiTheme="minorEastAsia" w:hAnsiTheme="minorEastAsia" w:eastAsiaTheme="minorEastAsia"/>
          <w:spacing w:val="-3"/>
        </w:rPr>
        <w:t>含无法查实的如宣传册、</w:t>
      </w:r>
      <w:r>
        <w:rPr>
          <w:rFonts w:asciiTheme="minorEastAsia" w:hAnsiTheme="minorEastAsia" w:eastAsiaTheme="minorEastAsia"/>
          <w:spacing w:val="-5"/>
        </w:rPr>
        <w:t>媒体报道、猜测、推理等</w:t>
      </w:r>
      <w:r>
        <w:rPr>
          <w:rFonts w:asciiTheme="minorEastAsia" w:hAnsiTheme="minorEastAsia" w:eastAsiaTheme="minorEastAsia"/>
          <w:spacing w:val="-4"/>
        </w:rPr>
        <w:t>）</w:t>
      </w:r>
      <w:r>
        <w:rPr>
          <w:rFonts w:asciiTheme="minorEastAsia" w:hAnsiTheme="minorEastAsia" w:eastAsiaTheme="minorEastAsia"/>
          <w:spacing w:val="-5"/>
        </w:rPr>
        <w:t>向有关部门的举报，否则作违约处理。招标人有权取消其相应的会员资格，同</w:t>
      </w:r>
      <w:r>
        <w:rPr>
          <w:rFonts w:asciiTheme="minorEastAsia" w:hAnsiTheme="minorEastAsia" w:eastAsiaTheme="minorEastAsia"/>
          <w:spacing w:val="-4"/>
        </w:rPr>
        <w:t>时对其在</w:t>
      </w:r>
      <w:r>
        <w:rPr>
          <w:rFonts w:asciiTheme="minorEastAsia" w:hAnsiTheme="minorEastAsia" w:eastAsiaTheme="minorEastAsia"/>
          <w:spacing w:val="-3"/>
        </w:rPr>
        <w:t>1</w:t>
      </w:r>
      <w:r>
        <w:rPr>
          <w:rFonts w:asciiTheme="minorEastAsia" w:hAnsiTheme="minorEastAsia" w:eastAsiaTheme="minorEastAsia"/>
        </w:rPr>
        <w:t>至3</w:t>
      </w:r>
      <w:r>
        <w:rPr>
          <w:rFonts w:asciiTheme="minorEastAsia" w:hAnsiTheme="minorEastAsia" w:eastAsiaTheme="minorEastAsia"/>
          <w:spacing w:val="-3"/>
        </w:rPr>
        <w:t>年内禁入由招标人组织的政府采购活动的违约处理。</w:t>
      </w:r>
    </w:p>
    <w:p>
      <w:pPr>
        <w:pStyle w:val="2"/>
        <w:spacing w:before="1" w:line="249" w:lineRule="auto"/>
        <w:ind w:left="472" w:right="350" w:firstLine="422"/>
        <w:rPr>
          <w:rFonts w:asciiTheme="minorEastAsia" w:hAnsiTheme="minorEastAsia" w:eastAsiaTheme="minorEastAsia"/>
        </w:rPr>
      </w:pPr>
      <w:r>
        <w:rPr>
          <w:rFonts w:asciiTheme="minorEastAsia" w:hAnsiTheme="minorEastAsia" w:eastAsiaTheme="minorEastAsia"/>
          <w:b/>
          <w:spacing w:val="-8"/>
        </w:rPr>
        <w:t>五、投诉不成立的作违约处理。</w:t>
      </w:r>
      <w:r>
        <w:rPr>
          <w:rFonts w:asciiTheme="minorEastAsia" w:hAnsiTheme="minorEastAsia" w:eastAsiaTheme="minorEastAsia"/>
          <w:spacing w:val="-8"/>
        </w:rPr>
        <w:t xml:space="preserve">供应商进行质疑后，招标人回复质疑不成立，供应商仍进行投诉的， </w:t>
      </w:r>
      <w:r>
        <w:rPr>
          <w:rFonts w:asciiTheme="minorEastAsia" w:hAnsiTheme="minorEastAsia" w:eastAsiaTheme="minorEastAsia"/>
          <w:spacing w:val="-7"/>
        </w:rPr>
        <w:t xml:space="preserve">并最终投诉不成立的，作违约处理。招标人有权取消其相应的会员资格，同时对其在 </w:t>
      </w:r>
      <w:r>
        <w:rPr>
          <w:rFonts w:asciiTheme="minorEastAsia" w:hAnsiTheme="minorEastAsia" w:eastAsiaTheme="minorEastAsia"/>
        </w:rPr>
        <w:t>1</w:t>
      </w:r>
      <w:r>
        <w:rPr>
          <w:rFonts w:asciiTheme="minorEastAsia" w:hAnsiTheme="minorEastAsia" w:eastAsiaTheme="minorEastAsia"/>
          <w:spacing w:val="-31"/>
        </w:rPr>
        <w:t xml:space="preserve"> 至 </w:t>
      </w:r>
      <w:r>
        <w:rPr>
          <w:rFonts w:asciiTheme="minorEastAsia" w:hAnsiTheme="minorEastAsia" w:eastAsiaTheme="minorEastAsia"/>
        </w:rPr>
        <w:t>3</w:t>
      </w:r>
      <w:r>
        <w:rPr>
          <w:rFonts w:asciiTheme="minorEastAsia" w:hAnsiTheme="minorEastAsia" w:eastAsiaTheme="minorEastAsia"/>
          <w:spacing w:val="-10"/>
        </w:rPr>
        <w:t xml:space="preserve"> 年内禁入由</w:t>
      </w:r>
      <w:r>
        <w:rPr>
          <w:rFonts w:asciiTheme="minorEastAsia" w:hAnsiTheme="minorEastAsia" w:eastAsiaTheme="minorEastAsia"/>
          <w:spacing w:val="-5"/>
        </w:rPr>
        <w:t>招标人组织的政府采购活动的违约处理。</w:t>
      </w:r>
    </w:p>
    <w:p>
      <w:pPr>
        <w:spacing w:line="247" w:lineRule="auto"/>
        <w:ind w:left="472" w:right="455" w:firstLine="422"/>
        <w:rPr>
          <w:rFonts w:asciiTheme="minorEastAsia" w:hAnsiTheme="minorEastAsia" w:eastAsiaTheme="minorEastAsia"/>
          <w:sz w:val="21"/>
        </w:rPr>
      </w:pPr>
      <w:r>
        <w:rPr>
          <w:rFonts w:asciiTheme="minorEastAsia" w:hAnsiTheme="minorEastAsia" w:eastAsiaTheme="minorEastAsia"/>
          <w:b/>
          <w:spacing w:val="-5"/>
          <w:sz w:val="21"/>
        </w:rPr>
        <w:t>六、《质疑函》、《质疑回复函》，质疑、举报、投诉不成立的</w:t>
      </w:r>
      <w:r>
        <w:rPr>
          <w:rFonts w:asciiTheme="minorEastAsia" w:hAnsiTheme="minorEastAsia" w:eastAsiaTheme="minorEastAsia"/>
          <w:spacing w:val="-3"/>
          <w:sz w:val="21"/>
        </w:rPr>
        <w:t>等相关情况，视情在南通政府采购</w:t>
      </w:r>
      <w:r>
        <w:rPr>
          <w:rFonts w:asciiTheme="minorEastAsia" w:hAnsiTheme="minorEastAsia" w:eastAsiaTheme="minorEastAsia"/>
          <w:spacing w:val="-4"/>
          <w:sz w:val="21"/>
        </w:rPr>
        <w:t xml:space="preserve">网、省、国家级等相关媒体予以披露。并建议相关政府采购机构对该供应商同步实施 </w:t>
      </w:r>
      <w:r>
        <w:rPr>
          <w:rFonts w:asciiTheme="minorEastAsia" w:hAnsiTheme="minorEastAsia" w:eastAsiaTheme="minorEastAsia"/>
          <w:sz w:val="21"/>
        </w:rPr>
        <w:t>1</w:t>
      </w:r>
      <w:r>
        <w:rPr>
          <w:rFonts w:asciiTheme="minorEastAsia" w:hAnsiTheme="minorEastAsia" w:eastAsiaTheme="minorEastAsia"/>
          <w:spacing w:val="-29"/>
          <w:sz w:val="21"/>
        </w:rPr>
        <w:t xml:space="preserve"> 至 </w:t>
      </w:r>
      <w:r>
        <w:rPr>
          <w:rFonts w:asciiTheme="minorEastAsia" w:hAnsiTheme="minorEastAsia" w:eastAsiaTheme="minorEastAsia"/>
          <w:sz w:val="21"/>
        </w:rPr>
        <w:t>3</w:t>
      </w:r>
      <w:r>
        <w:rPr>
          <w:rFonts w:asciiTheme="minorEastAsia" w:hAnsiTheme="minorEastAsia" w:eastAsiaTheme="minorEastAsia"/>
          <w:spacing w:val="-10"/>
          <w:sz w:val="21"/>
        </w:rPr>
        <w:t xml:space="preserve"> 年内禁入。</w:t>
      </w:r>
    </w:p>
    <w:p>
      <w:pPr>
        <w:pStyle w:val="2"/>
        <w:spacing w:before="7"/>
        <w:rPr>
          <w:rFonts w:asciiTheme="minorEastAsia" w:hAnsiTheme="minorEastAsia" w:eastAsiaTheme="minorEastAsia"/>
          <w:sz w:val="22"/>
        </w:rPr>
      </w:pPr>
    </w:p>
    <w:p>
      <w:pPr>
        <w:pStyle w:val="3"/>
        <w:ind w:left="6"/>
        <w:rPr>
          <w:rFonts w:asciiTheme="minorEastAsia" w:hAnsiTheme="minorEastAsia" w:eastAsiaTheme="minorEastAsia"/>
        </w:rPr>
      </w:pPr>
      <w:r>
        <w:rPr>
          <w:rFonts w:asciiTheme="minorEastAsia" w:hAnsiTheme="minorEastAsia" w:eastAsiaTheme="minorEastAsia"/>
        </w:rPr>
        <w:t>第七部分 投标文件格式</w:t>
      </w:r>
    </w:p>
    <w:p>
      <w:pPr>
        <w:pStyle w:val="6"/>
        <w:spacing w:before="45"/>
        <w:ind w:left="9"/>
        <w:rPr>
          <w:rFonts w:asciiTheme="minorEastAsia" w:hAnsiTheme="minorEastAsia" w:eastAsiaTheme="minorEastAsia"/>
        </w:rPr>
      </w:pPr>
      <w:r>
        <w:rPr>
          <w:rFonts w:asciiTheme="minorEastAsia" w:hAnsiTheme="minorEastAsia" w:eastAsiaTheme="minorEastAsia"/>
        </w:rPr>
        <w:t>投标资料目录</w:t>
      </w:r>
    </w:p>
    <w:p>
      <w:pPr>
        <w:pStyle w:val="2"/>
        <w:spacing w:before="1"/>
        <w:rPr>
          <w:rFonts w:asciiTheme="minorEastAsia" w:hAnsiTheme="minorEastAsia" w:eastAsiaTheme="minorEastAsia"/>
          <w:b/>
          <w:sz w:val="18"/>
        </w:rPr>
      </w:pPr>
    </w:p>
    <w:tbl>
      <w:tblPr>
        <w:tblStyle w:val="23"/>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737"/>
        <w:gridCol w:w="2055"/>
        <w:gridCol w:w="772"/>
        <w:gridCol w:w="770"/>
        <w:gridCol w:w="1449"/>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28" w:type="dxa"/>
          </w:tcPr>
          <w:p>
            <w:pPr>
              <w:pStyle w:val="30"/>
              <w:spacing w:before="150"/>
              <w:ind w:left="137" w:right="121"/>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序号</w:t>
            </w:r>
          </w:p>
        </w:tc>
        <w:tc>
          <w:tcPr>
            <w:tcW w:w="2737" w:type="dxa"/>
          </w:tcPr>
          <w:p>
            <w:pPr>
              <w:pStyle w:val="30"/>
              <w:spacing w:before="150"/>
              <w:ind w:left="210" w:right="198"/>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采购文件要求</w:t>
            </w:r>
          </w:p>
        </w:tc>
        <w:tc>
          <w:tcPr>
            <w:tcW w:w="2055" w:type="dxa"/>
          </w:tcPr>
          <w:p>
            <w:pPr>
              <w:pStyle w:val="30"/>
              <w:spacing w:before="150"/>
              <w:ind w:left="395"/>
              <w:rPr>
                <w:rFonts w:asciiTheme="minorEastAsia" w:hAnsiTheme="minorEastAsia" w:eastAsiaTheme="minorEastAsia"/>
                <w:sz w:val="21"/>
                <w:highlight w:val="none"/>
              </w:rPr>
            </w:pPr>
            <w:r>
              <w:rPr>
                <w:rFonts w:asciiTheme="minorEastAsia" w:hAnsiTheme="minorEastAsia" w:eastAsiaTheme="minorEastAsia"/>
                <w:sz w:val="21"/>
                <w:highlight w:val="none"/>
              </w:rPr>
              <w:t>证明材料名称</w:t>
            </w:r>
          </w:p>
        </w:tc>
        <w:tc>
          <w:tcPr>
            <w:tcW w:w="1542" w:type="dxa"/>
            <w:gridSpan w:val="2"/>
          </w:tcPr>
          <w:p>
            <w:pPr>
              <w:pStyle w:val="30"/>
              <w:spacing w:before="150"/>
              <w:ind w:left="137"/>
              <w:rPr>
                <w:rFonts w:asciiTheme="minorEastAsia" w:hAnsiTheme="minorEastAsia" w:eastAsiaTheme="minorEastAsia"/>
                <w:sz w:val="21"/>
                <w:highlight w:val="none"/>
              </w:rPr>
            </w:pPr>
            <w:r>
              <w:rPr>
                <w:rFonts w:asciiTheme="minorEastAsia" w:hAnsiTheme="minorEastAsia" w:eastAsiaTheme="minorEastAsia"/>
                <w:sz w:val="21"/>
                <w:highlight w:val="none"/>
              </w:rPr>
              <w:t>响应文件位置</w:t>
            </w:r>
          </w:p>
        </w:tc>
        <w:tc>
          <w:tcPr>
            <w:tcW w:w="1449" w:type="dxa"/>
            <w:tcBorders>
              <w:right w:val="nil"/>
            </w:tcBorders>
          </w:tcPr>
          <w:p>
            <w:pPr>
              <w:pStyle w:val="30"/>
              <w:spacing w:before="150"/>
              <w:ind w:right="102"/>
              <w:jc w:val="right"/>
              <w:rPr>
                <w:rFonts w:asciiTheme="minorEastAsia" w:hAnsiTheme="minorEastAsia" w:eastAsiaTheme="minorEastAsia"/>
                <w:sz w:val="21"/>
                <w:highlight w:val="none"/>
              </w:rPr>
            </w:pPr>
            <w:r>
              <w:rPr>
                <w:rFonts w:asciiTheme="minorEastAsia" w:hAnsiTheme="minorEastAsia" w:eastAsiaTheme="minorEastAsia"/>
                <w:sz w:val="21"/>
                <w:highlight w:val="none"/>
              </w:rPr>
              <w:t>说</w:t>
            </w:r>
          </w:p>
        </w:tc>
        <w:tc>
          <w:tcPr>
            <w:tcW w:w="1444" w:type="dxa"/>
            <w:tcBorders>
              <w:left w:val="nil"/>
            </w:tcBorders>
          </w:tcPr>
          <w:p>
            <w:pPr>
              <w:pStyle w:val="30"/>
              <w:spacing w:before="150"/>
              <w:ind w:left="106"/>
              <w:rPr>
                <w:rFonts w:asciiTheme="minorEastAsia" w:hAnsiTheme="minorEastAsia" w:eastAsiaTheme="minorEastAsia"/>
                <w:sz w:val="21"/>
                <w:highlight w:val="none"/>
              </w:rPr>
            </w:pPr>
            <w:r>
              <w:rPr>
                <w:rFonts w:asciiTheme="minorEastAsia" w:hAnsiTheme="minorEastAsia" w:eastAsiaTheme="minorEastAsia"/>
                <w:sz w:val="21"/>
                <w:highlight w:val="none"/>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pPr>
              <w:pStyle w:val="30"/>
              <w:spacing w:before="162"/>
              <w:ind w:left="12"/>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1</w:t>
            </w:r>
          </w:p>
        </w:tc>
        <w:tc>
          <w:tcPr>
            <w:tcW w:w="2737" w:type="dxa"/>
            <w:vAlign w:val="center"/>
          </w:tcPr>
          <w:p>
            <w:pPr>
              <w:pStyle w:val="30"/>
              <w:spacing w:before="162"/>
              <w:ind w:left="213" w:right="198"/>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关于资格的声明函</w:t>
            </w:r>
          </w:p>
        </w:tc>
        <w:tc>
          <w:tcPr>
            <w:tcW w:w="2055" w:type="dxa"/>
          </w:tcPr>
          <w:p>
            <w:pPr>
              <w:pStyle w:val="30"/>
              <w:rPr>
                <w:rFonts w:asciiTheme="minorEastAsia" w:hAnsiTheme="minorEastAsia" w:eastAsiaTheme="minorEastAsia"/>
                <w:sz w:val="20"/>
                <w:highlight w:val="none"/>
              </w:rPr>
            </w:pPr>
          </w:p>
        </w:tc>
        <w:tc>
          <w:tcPr>
            <w:tcW w:w="772" w:type="dxa"/>
            <w:tcBorders>
              <w:right w:val="nil"/>
            </w:tcBorders>
            <w:vAlign w:val="center"/>
          </w:tcPr>
          <w:p>
            <w:pPr>
              <w:pStyle w:val="30"/>
              <w:spacing w:before="162"/>
              <w:ind w:right="204"/>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lang w:val="en-US" w:eastAsia="zh-CN"/>
              </w:rPr>
              <w:t xml:space="preserve"> </w:t>
            </w:r>
            <w:r>
              <w:rPr>
                <w:rFonts w:asciiTheme="minorEastAsia" w:hAnsiTheme="minorEastAsia" w:eastAsiaTheme="minorEastAsia"/>
                <w:sz w:val="21"/>
                <w:highlight w:val="none"/>
              </w:rPr>
              <w:t>第</w:t>
            </w:r>
          </w:p>
        </w:tc>
        <w:tc>
          <w:tcPr>
            <w:tcW w:w="770" w:type="dxa"/>
            <w:tcBorders>
              <w:left w:val="nil"/>
            </w:tcBorders>
            <w:vAlign w:val="center"/>
          </w:tcPr>
          <w:p>
            <w:pPr>
              <w:pStyle w:val="30"/>
              <w:spacing w:before="162"/>
              <w:ind w:left="213"/>
              <w:jc w:val="both"/>
              <w:rPr>
                <w:rFonts w:asciiTheme="minorEastAsia" w:hAnsiTheme="minorEastAsia" w:eastAsiaTheme="minorEastAsia"/>
                <w:sz w:val="21"/>
                <w:highlight w:val="none"/>
              </w:rPr>
            </w:pPr>
            <w:r>
              <w:rPr>
                <w:rFonts w:asciiTheme="minorEastAsia" w:hAnsiTheme="minorEastAsia" w:eastAsiaTheme="minorEastAsia"/>
                <w:sz w:val="21"/>
                <w:highlight w:val="none"/>
              </w:rPr>
              <w:t>页</w:t>
            </w:r>
          </w:p>
        </w:tc>
        <w:tc>
          <w:tcPr>
            <w:tcW w:w="2893" w:type="dxa"/>
            <w:gridSpan w:val="2"/>
          </w:tcPr>
          <w:p>
            <w:pPr>
              <w:pStyle w:val="30"/>
              <w:spacing w:before="162"/>
              <w:ind w:left="1062" w:right="1055"/>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tcBorders>
              <w:bottom w:val="single" w:color="000000" w:sz="4" w:space="0"/>
            </w:tcBorders>
            <w:vAlign w:val="center"/>
          </w:tcPr>
          <w:p>
            <w:pPr>
              <w:pStyle w:val="30"/>
              <w:spacing w:before="164"/>
              <w:ind w:left="12"/>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2</w:t>
            </w:r>
          </w:p>
        </w:tc>
        <w:tc>
          <w:tcPr>
            <w:tcW w:w="2737" w:type="dxa"/>
            <w:tcBorders>
              <w:bottom w:val="single" w:color="000000" w:sz="4" w:space="0"/>
            </w:tcBorders>
            <w:vAlign w:val="center"/>
          </w:tcPr>
          <w:p>
            <w:pPr>
              <w:pStyle w:val="30"/>
              <w:spacing w:before="164"/>
              <w:ind w:left="210" w:right="198"/>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法定代表人身份证明书</w:t>
            </w:r>
          </w:p>
        </w:tc>
        <w:tc>
          <w:tcPr>
            <w:tcW w:w="2055" w:type="dxa"/>
            <w:tcBorders>
              <w:bottom w:val="single" w:color="000000" w:sz="4" w:space="0"/>
            </w:tcBorders>
          </w:tcPr>
          <w:p>
            <w:pPr>
              <w:pStyle w:val="30"/>
              <w:rPr>
                <w:rFonts w:asciiTheme="minorEastAsia" w:hAnsiTheme="minorEastAsia" w:eastAsiaTheme="minorEastAsia"/>
                <w:sz w:val="20"/>
                <w:highlight w:val="none"/>
              </w:rPr>
            </w:pPr>
          </w:p>
        </w:tc>
        <w:tc>
          <w:tcPr>
            <w:tcW w:w="772" w:type="dxa"/>
            <w:tcBorders>
              <w:bottom w:val="single" w:color="000000" w:sz="4" w:space="0"/>
              <w:right w:val="nil"/>
            </w:tcBorders>
            <w:vAlign w:val="center"/>
          </w:tcPr>
          <w:p>
            <w:pPr>
              <w:pStyle w:val="30"/>
              <w:spacing w:before="164"/>
              <w:ind w:right="204"/>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lang w:val="en-US" w:eastAsia="zh-CN"/>
              </w:rPr>
              <w:t xml:space="preserve"> </w:t>
            </w:r>
            <w:r>
              <w:rPr>
                <w:rFonts w:asciiTheme="minorEastAsia" w:hAnsiTheme="minorEastAsia" w:eastAsiaTheme="minorEastAsia"/>
                <w:sz w:val="21"/>
                <w:highlight w:val="none"/>
              </w:rPr>
              <w:t>第</w:t>
            </w:r>
          </w:p>
        </w:tc>
        <w:tc>
          <w:tcPr>
            <w:tcW w:w="770" w:type="dxa"/>
            <w:tcBorders>
              <w:left w:val="nil"/>
              <w:bottom w:val="single" w:color="000000" w:sz="4" w:space="0"/>
            </w:tcBorders>
            <w:vAlign w:val="center"/>
          </w:tcPr>
          <w:p>
            <w:pPr>
              <w:pStyle w:val="30"/>
              <w:spacing w:before="164"/>
              <w:ind w:left="213"/>
              <w:jc w:val="both"/>
              <w:rPr>
                <w:rFonts w:asciiTheme="minorEastAsia" w:hAnsiTheme="minorEastAsia" w:eastAsiaTheme="minorEastAsia"/>
                <w:sz w:val="21"/>
                <w:highlight w:val="none"/>
              </w:rPr>
            </w:pPr>
            <w:r>
              <w:rPr>
                <w:rFonts w:asciiTheme="minorEastAsia" w:hAnsiTheme="minorEastAsia" w:eastAsiaTheme="minorEastAsia"/>
                <w:sz w:val="21"/>
                <w:highlight w:val="none"/>
              </w:rPr>
              <w:t>页</w:t>
            </w:r>
          </w:p>
        </w:tc>
        <w:tc>
          <w:tcPr>
            <w:tcW w:w="2893" w:type="dxa"/>
            <w:gridSpan w:val="2"/>
            <w:tcBorders>
              <w:bottom w:val="single" w:color="000000" w:sz="4" w:space="0"/>
            </w:tcBorders>
          </w:tcPr>
          <w:p>
            <w:pPr>
              <w:pStyle w:val="30"/>
              <w:spacing w:before="164"/>
              <w:ind w:left="1062" w:right="1055"/>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shd w:val="clear" w:color="auto" w:fill="auto"/>
            <w:vAlign w:val="center"/>
          </w:tcPr>
          <w:p>
            <w:pPr>
              <w:pStyle w:val="30"/>
              <w:spacing w:before="162"/>
              <w:ind w:left="12"/>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3</w:t>
            </w:r>
          </w:p>
        </w:tc>
        <w:tc>
          <w:tcPr>
            <w:tcW w:w="2737" w:type="dxa"/>
            <w:shd w:val="clear" w:color="auto" w:fill="auto"/>
            <w:vAlign w:val="center"/>
          </w:tcPr>
          <w:p>
            <w:pPr>
              <w:pStyle w:val="30"/>
              <w:spacing w:before="162"/>
              <w:ind w:left="213" w:right="198"/>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授权委托书</w:t>
            </w:r>
          </w:p>
        </w:tc>
        <w:tc>
          <w:tcPr>
            <w:tcW w:w="2055" w:type="dxa"/>
            <w:shd w:val="clear" w:color="auto" w:fill="auto"/>
          </w:tcPr>
          <w:p>
            <w:pPr>
              <w:pStyle w:val="30"/>
              <w:rPr>
                <w:rFonts w:asciiTheme="minorEastAsia" w:hAnsiTheme="minorEastAsia" w:eastAsiaTheme="minorEastAsia"/>
                <w:color w:val="auto"/>
                <w:sz w:val="20"/>
                <w:highlight w:val="none"/>
              </w:rPr>
            </w:pPr>
          </w:p>
        </w:tc>
        <w:tc>
          <w:tcPr>
            <w:tcW w:w="772" w:type="dxa"/>
            <w:tcBorders>
              <w:right w:val="nil"/>
            </w:tcBorders>
            <w:shd w:val="clear" w:color="auto" w:fill="auto"/>
            <w:vAlign w:val="center"/>
          </w:tcPr>
          <w:p>
            <w:pPr>
              <w:pStyle w:val="30"/>
              <w:spacing w:before="162"/>
              <w:ind w:right="204"/>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 xml:space="preserve"> </w:t>
            </w:r>
            <w:r>
              <w:rPr>
                <w:rFonts w:asciiTheme="minorEastAsia" w:hAnsiTheme="minorEastAsia" w:eastAsiaTheme="minorEastAsia"/>
                <w:color w:val="auto"/>
                <w:sz w:val="21"/>
                <w:highlight w:val="none"/>
              </w:rPr>
              <w:t>第</w:t>
            </w:r>
          </w:p>
        </w:tc>
        <w:tc>
          <w:tcPr>
            <w:tcW w:w="770" w:type="dxa"/>
            <w:tcBorders>
              <w:left w:val="nil"/>
            </w:tcBorders>
            <w:shd w:val="clear" w:color="auto" w:fill="auto"/>
            <w:vAlign w:val="center"/>
          </w:tcPr>
          <w:p>
            <w:pPr>
              <w:pStyle w:val="30"/>
              <w:spacing w:before="162"/>
              <w:ind w:left="213"/>
              <w:jc w:val="both"/>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页</w:t>
            </w:r>
          </w:p>
        </w:tc>
        <w:tc>
          <w:tcPr>
            <w:tcW w:w="2893" w:type="dxa"/>
            <w:gridSpan w:val="2"/>
            <w:shd w:val="clear" w:color="auto" w:fill="auto"/>
          </w:tcPr>
          <w:p>
            <w:pPr>
              <w:pStyle w:val="30"/>
              <w:spacing w:before="27" w:line="242" w:lineRule="auto"/>
              <w:ind w:left="1234" w:right="175" w:hanging="105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8" w:type="dxa"/>
            <w:vAlign w:val="center"/>
          </w:tcPr>
          <w:p>
            <w:pPr>
              <w:pStyle w:val="30"/>
              <w:spacing w:before="164"/>
              <w:ind w:left="12"/>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4</w:t>
            </w:r>
          </w:p>
        </w:tc>
        <w:tc>
          <w:tcPr>
            <w:tcW w:w="2737" w:type="dxa"/>
          </w:tcPr>
          <w:p>
            <w:pPr>
              <w:pStyle w:val="30"/>
              <w:spacing w:before="164"/>
              <w:ind w:left="213" w:right="198"/>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营业执照</w:t>
            </w:r>
          </w:p>
        </w:tc>
        <w:tc>
          <w:tcPr>
            <w:tcW w:w="2055" w:type="dxa"/>
          </w:tcPr>
          <w:p>
            <w:pPr>
              <w:pStyle w:val="30"/>
              <w:rPr>
                <w:rFonts w:asciiTheme="minorEastAsia" w:hAnsiTheme="minorEastAsia" w:eastAsiaTheme="minorEastAsia"/>
                <w:sz w:val="20"/>
                <w:highlight w:val="none"/>
              </w:rPr>
            </w:pPr>
          </w:p>
        </w:tc>
        <w:tc>
          <w:tcPr>
            <w:tcW w:w="772" w:type="dxa"/>
            <w:tcBorders>
              <w:right w:val="nil"/>
            </w:tcBorders>
            <w:vAlign w:val="center"/>
          </w:tcPr>
          <w:p>
            <w:pPr>
              <w:pStyle w:val="30"/>
              <w:spacing w:before="164"/>
              <w:ind w:right="204"/>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lang w:val="en-US" w:eastAsia="zh-CN"/>
              </w:rPr>
              <w:t xml:space="preserve"> </w:t>
            </w:r>
            <w:r>
              <w:rPr>
                <w:rFonts w:asciiTheme="minorEastAsia" w:hAnsiTheme="minorEastAsia" w:eastAsiaTheme="minorEastAsia"/>
                <w:sz w:val="21"/>
                <w:highlight w:val="none"/>
              </w:rPr>
              <w:t>第</w:t>
            </w:r>
          </w:p>
        </w:tc>
        <w:tc>
          <w:tcPr>
            <w:tcW w:w="770" w:type="dxa"/>
            <w:tcBorders>
              <w:left w:val="nil"/>
            </w:tcBorders>
            <w:vAlign w:val="center"/>
          </w:tcPr>
          <w:p>
            <w:pPr>
              <w:pStyle w:val="30"/>
              <w:spacing w:before="164"/>
              <w:ind w:left="213"/>
              <w:jc w:val="both"/>
              <w:rPr>
                <w:rFonts w:asciiTheme="minorEastAsia" w:hAnsiTheme="minorEastAsia" w:eastAsiaTheme="minorEastAsia"/>
                <w:sz w:val="21"/>
                <w:highlight w:val="none"/>
              </w:rPr>
            </w:pPr>
            <w:r>
              <w:rPr>
                <w:rFonts w:asciiTheme="minorEastAsia" w:hAnsiTheme="minorEastAsia" w:eastAsiaTheme="minorEastAsia"/>
                <w:sz w:val="21"/>
                <w:highlight w:val="none"/>
              </w:rPr>
              <w:t>页</w:t>
            </w:r>
          </w:p>
        </w:tc>
        <w:tc>
          <w:tcPr>
            <w:tcW w:w="2893" w:type="dxa"/>
            <w:gridSpan w:val="2"/>
          </w:tcPr>
          <w:p>
            <w:pPr>
              <w:pStyle w:val="30"/>
              <w:rPr>
                <w:rFonts w:asciiTheme="minorEastAsia" w:hAnsiTheme="minorEastAsia"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30"/>
              <w:spacing w:before="27" w:line="242" w:lineRule="auto"/>
              <w:ind w:left="1234" w:right="175" w:hanging="1052"/>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5</w:t>
            </w:r>
          </w:p>
        </w:tc>
        <w:tc>
          <w:tcPr>
            <w:tcW w:w="2737" w:type="dxa"/>
          </w:tcPr>
          <w:p>
            <w:pPr>
              <w:pStyle w:val="30"/>
              <w:spacing w:before="27" w:line="242" w:lineRule="auto"/>
              <w:ind w:right="175"/>
              <w:rPr>
                <w:rFonts w:asciiTheme="minorEastAsia" w:hAnsiTheme="minorEastAsia" w:eastAsiaTheme="minorEastAsia"/>
                <w:sz w:val="21"/>
                <w:highlight w:val="none"/>
              </w:rPr>
            </w:pPr>
            <w:r>
              <w:rPr>
                <w:rFonts w:hint="eastAsia" w:asciiTheme="minorEastAsia" w:hAnsiTheme="minorEastAsia" w:eastAsiaTheme="minorEastAsia"/>
                <w:sz w:val="21"/>
                <w:highlight w:val="none"/>
              </w:rPr>
              <w:t>投标人符合《政府采购法》第二十二条规定条件的声明函</w:t>
            </w:r>
          </w:p>
        </w:tc>
        <w:tc>
          <w:tcPr>
            <w:tcW w:w="2055" w:type="dxa"/>
          </w:tcPr>
          <w:p>
            <w:pPr>
              <w:pStyle w:val="30"/>
              <w:spacing w:before="27" w:line="242" w:lineRule="auto"/>
              <w:ind w:left="1234" w:right="175" w:hanging="1052"/>
              <w:rPr>
                <w:rFonts w:asciiTheme="minorEastAsia" w:hAnsiTheme="minorEastAsia" w:eastAsiaTheme="minorEastAsia"/>
                <w:sz w:val="21"/>
                <w:highlight w:val="none"/>
              </w:rPr>
            </w:pPr>
          </w:p>
        </w:tc>
        <w:tc>
          <w:tcPr>
            <w:tcW w:w="772" w:type="dxa"/>
            <w:tcBorders>
              <w:right w:val="nil"/>
            </w:tcBorders>
            <w:vAlign w:val="center"/>
          </w:tcPr>
          <w:p>
            <w:pPr>
              <w:pStyle w:val="30"/>
              <w:spacing w:before="164"/>
              <w:ind w:right="204" w:rightChars="0"/>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lang w:val="en-US" w:eastAsia="zh-CN"/>
              </w:rPr>
              <w:t xml:space="preserve"> </w:t>
            </w:r>
            <w:r>
              <w:rPr>
                <w:rFonts w:asciiTheme="minorEastAsia" w:hAnsiTheme="minorEastAsia" w:eastAsiaTheme="minorEastAsia"/>
                <w:sz w:val="21"/>
                <w:highlight w:val="none"/>
              </w:rPr>
              <w:t>第</w:t>
            </w:r>
          </w:p>
        </w:tc>
        <w:tc>
          <w:tcPr>
            <w:tcW w:w="770" w:type="dxa"/>
            <w:tcBorders>
              <w:left w:val="nil"/>
            </w:tcBorders>
            <w:vAlign w:val="center"/>
          </w:tcPr>
          <w:p>
            <w:pPr>
              <w:pStyle w:val="30"/>
              <w:spacing w:before="164"/>
              <w:ind w:left="213" w:leftChars="0"/>
              <w:jc w:val="both"/>
              <w:rPr>
                <w:rFonts w:asciiTheme="minorEastAsia" w:hAnsiTheme="minorEastAsia" w:eastAsiaTheme="minorEastAsia"/>
                <w:sz w:val="21"/>
                <w:highlight w:val="none"/>
              </w:rPr>
            </w:pPr>
            <w:r>
              <w:rPr>
                <w:rFonts w:asciiTheme="minorEastAsia" w:hAnsiTheme="minorEastAsia" w:eastAsiaTheme="minorEastAsia"/>
                <w:sz w:val="21"/>
                <w:highlight w:val="none"/>
              </w:rPr>
              <w:t>页</w:t>
            </w:r>
          </w:p>
        </w:tc>
        <w:tc>
          <w:tcPr>
            <w:tcW w:w="2893" w:type="dxa"/>
            <w:gridSpan w:val="2"/>
          </w:tcPr>
          <w:p>
            <w:pPr>
              <w:pStyle w:val="30"/>
              <w:spacing w:before="27" w:line="242" w:lineRule="auto"/>
              <w:ind w:left="1234" w:right="175" w:hanging="1052"/>
              <w:rPr>
                <w:rFonts w:asciiTheme="minorEastAsia" w:hAnsiTheme="minorEastAsia" w:eastAsiaTheme="minorEastAsia"/>
                <w:sz w:val="21"/>
                <w:highlight w:val="none"/>
              </w:rPr>
            </w:pPr>
            <w:r>
              <w:rPr>
                <w:rFonts w:hint="eastAsia" w:asciiTheme="minorEastAsia" w:hAnsiTheme="minorEastAsia" w:eastAsiaTheme="minorEastAsia"/>
                <w:sz w:val="21"/>
                <w:highlight w:val="none"/>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30"/>
              <w:spacing w:before="27" w:line="242" w:lineRule="auto"/>
              <w:ind w:right="175"/>
              <w:rPr>
                <w:rFonts w:asciiTheme="minorEastAsia" w:hAnsiTheme="minorEastAsia" w:eastAsiaTheme="minorEastAsia"/>
                <w:sz w:val="21"/>
                <w:highlight w:val="none"/>
              </w:rPr>
            </w:pPr>
          </w:p>
        </w:tc>
        <w:tc>
          <w:tcPr>
            <w:tcW w:w="2737" w:type="dxa"/>
          </w:tcPr>
          <w:p>
            <w:pPr>
              <w:pStyle w:val="30"/>
              <w:spacing w:before="27" w:line="242" w:lineRule="auto"/>
              <w:ind w:right="175"/>
              <w:rPr>
                <w:rFonts w:asciiTheme="minorEastAsia" w:hAnsiTheme="minorEastAsia" w:eastAsiaTheme="minorEastAsia"/>
                <w:sz w:val="21"/>
                <w:highlight w:val="none"/>
              </w:rPr>
            </w:pPr>
            <w:r>
              <w:rPr>
                <w:rFonts w:hint="eastAsia" w:asciiTheme="minorEastAsia" w:hAnsiTheme="minorEastAsia" w:eastAsiaTheme="minorEastAsia"/>
                <w:sz w:val="21"/>
                <w:highlight w:val="none"/>
              </w:rPr>
              <w:t>招标公告资格要求提供相应的佐证材料（如专门面向中小企业采购则须提供中小企业声明函）</w:t>
            </w:r>
          </w:p>
        </w:tc>
        <w:tc>
          <w:tcPr>
            <w:tcW w:w="2055" w:type="dxa"/>
          </w:tcPr>
          <w:p>
            <w:pPr>
              <w:pStyle w:val="30"/>
              <w:spacing w:before="27" w:line="242" w:lineRule="auto"/>
              <w:ind w:left="1234" w:right="175" w:hanging="1052"/>
              <w:rPr>
                <w:rFonts w:asciiTheme="minorEastAsia" w:hAnsiTheme="minorEastAsia" w:eastAsiaTheme="minorEastAsia"/>
                <w:sz w:val="21"/>
                <w:highlight w:val="none"/>
              </w:rPr>
            </w:pPr>
          </w:p>
        </w:tc>
        <w:tc>
          <w:tcPr>
            <w:tcW w:w="772" w:type="dxa"/>
            <w:tcBorders>
              <w:right w:val="nil"/>
            </w:tcBorders>
            <w:vAlign w:val="center"/>
          </w:tcPr>
          <w:p>
            <w:pPr>
              <w:pStyle w:val="30"/>
              <w:spacing w:before="27" w:line="242" w:lineRule="auto"/>
              <w:ind w:left="1234" w:right="175" w:hanging="1052"/>
              <w:jc w:val="center"/>
              <w:rPr>
                <w:rFonts w:asciiTheme="minorEastAsia" w:hAnsiTheme="minorEastAsia" w:eastAsiaTheme="minorEastAsia"/>
                <w:sz w:val="21"/>
                <w:highlight w:val="none"/>
              </w:rPr>
            </w:pPr>
          </w:p>
        </w:tc>
        <w:tc>
          <w:tcPr>
            <w:tcW w:w="770" w:type="dxa"/>
            <w:tcBorders>
              <w:left w:val="nil"/>
            </w:tcBorders>
            <w:vAlign w:val="center"/>
          </w:tcPr>
          <w:p>
            <w:pPr>
              <w:pStyle w:val="30"/>
              <w:spacing w:before="27" w:line="242" w:lineRule="auto"/>
              <w:ind w:left="1234" w:right="175" w:hanging="1052"/>
              <w:jc w:val="center"/>
              <w:rPr>
                <w:rFonts w:asciiTheme="minorEastAsia" w:hAnsiTheme="minorEastAsia" w:eastAsiaTheme="minorEastAsia"/>
                <w:sz w:val="21"/>
                <w:highlight w:val="none"/>
              </w:rPr>
            </w:pPr>
          </w:p>
        </w:tc>
        <w:tc>
          <w:tcPr>
            <w:tcW w:w="2893" w:type="dxa"/>
            <w:gridSpan w:val="2"/>
          </w:tcPr>
          <w:p>
            <w:pPr>
              <w:pStyle w:val="30"/>
              <w:spacing w:before="27" w:line="242" w:lineRule="auto"/>
              <w:ind w:left="1234" w:right="175" w:hanging="1052"/>
              <w:rPr>
                <w:rFonts w:asciiTheme="minorEastAsia" w:hAnsiTheme="minorEastAsia" w:eastAsiaTheme="minorEastAsia"/>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30"/>
              <w:spacing w:before="27" w:line="242" w:lineRule="auto"/>
              <w:ind w:right="175"/>
              <w:rPr>
                <w:rFonts w:asciiTheme="minorEastAsia" w:hAnsiTheme="minorEastAsia" w:eastAsiaTheme="minorEastAsia"/>
                <w:sz w:val="21"/>
                <w:highlight w:val="none"/>
              </w:rPr>
            </w:pPr>
          </w:p>
        </w:tc>
        <w:tc>
          <w:tcPr>
            <w:tcW w:w="2737" w:type="dxa"/>
          </w:tcPr>
          <w:p>
            <w:pPr>
              <w:pStyle w:val="30"/>
              <w:spacing w:before="27" w:line="242" w:lineRule="auto"/>
              <w:ind w:right="175"/>
              <w:rPr>
                <w:rFonts w:asciiTheme="minorEastAsia" w:hAnsiTheme="minorEastAsia" w:eastAsiaTheme="minorEastAsia"/>
                <w:sz w:val="21"/>
                <w:highlight w:val="none"/>
              </w:rPr>
            </w:pPr>
            <w:r>
              <w:rPr>
                <w:rFonts w:hint="eastAsia" w:asciiTheme="minorEastAsia" w:hAnsiTheme="minorEastAsia" w:eastAsiaTheme="minorEastAsia"/>
                <w:sz w:val="21"/>
                <w:highlight w:val="none"/>
              </w:rPr>
              <w:t>未被“信用中国”网站列入失信被执行人、重大税收违法案件当事人名单、政府采购严重失信行为记录名单（提供网站截图）</w:t>
            </w:r>
          </w:p>
        </w:tc>
        <w:tc>
          <w:tcPr>
            <w:tcW w:w="2055" w:type="dxa"/>
          </w:tcPr>
          <w:p>
            <w:pPr>
              <w:pStyle w:val="30"/>
              <w:spacing w:before="27" w:line="242" w:lineRule="auto"/>
              <w:ind w:left="1234" w:right="175" w:hanging="1052"/>
              <w:rPr>
                <w:rFonts w:asciiTheme="minorEastAsia" w:hAnsiTheme="minorEastAsia" w:eastAsiaTheme="minorEastAsia"/>
                <w:sz w:val="21"/>
                <w:highlight w:val="none"/>
              </w:rPr>
            </w:pPr>
          </w:p>
        </w:tc>
        <w:tc>
          <w:tcPr>
            <w:tcW w:w="772" w:type="dxa"/>
            <w:tcBorders>
              <w:right w:val="nil"/>
            </w:tcBorders>
            <w:vAlign w:val="center"/>
          </w:tcPr>
          <w:p>
            <w:pPr>
              <w:pStyle w:val="30"/>
              <w:spacing w:before="27" w:line="242" w:lineRule="auto"/>
              <w:ind w:left="1234" w:right="175" w:hanging="1052"/>
              <w:jc w:val="center"/>
              <w:rPr>
                <w:rFonts w:asciiTheme="minorEastAsia" w:hAnsiTheme="minorEastAsia" w:eastAsiaTheme="minorEastAsia"/>
                <w:sz w:val="21"/>
                <w:highlight w:val="none"/>
              </w:rPr>
            </w:pPr>
          </w:p>
        </w:tc>
        <w:tc>
          <w:tcPr>
            <w:tcW w:w="770" w:type="dxa"/>
            <w:tcBorders>
              <w:left w:val="nil"/>
            </w:tcBorders>
            <w:vAlign w:val="center"/>
          </w:tcPr>
          <w:p>
            <w:pPr>
              <w:pStyle w:val="30"/>
              <w:spacing w:before="27" w:line="242" w:lineRule="auto"/>
              <w:ind w:left="1234" w:right="175" w:hanging="1052"/>
              <w:jc w:val="center"/>
              <w:rPr>
                <w:rFonts w:asciiTheme="minorEastAsia" w:hAnsiTheme="minorEastAsia" w:eastAsiaTheme="minorEastAsia"/>
                <w:sz w:val="21"/>
                <w:highlight w:val="none"/>
              </w:rPr>
            </w:pPr>
          </w:p>
        </w:tc>
        <w:tc>
          <w:tcPr>
            <w:tcW w:w="2893" w:type="dxa"/>
            <w:gridSpan w:val="2"/>
          </w:tcPr>
          <w:p>
            <w:pPr>
              <w:pStyle w:val="30"/>
              <w:spacing w:before="27" w:line="242" w:lineRule="auto"/>
              <w:ind w:left="1234" w:right="175" w:hanging="1052"/>
              <w:rPr>
                <w:rFonts w:asciiTheme="minorEastAsia" w:hAnsiTheme="minorEastAsia" w:eastAsiaTheme="minorEastAsia"/>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30"/>
              <w:spacing w:before="27" w:line="242" w:lineRule="auto"/>
              <w:ind w:left="1234" w:right="175" w:hanging="1052"/>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6</w:t>
            </w:r>
          </w:p>
        </w:tc>
        <w:tc>
          <w:tcPr>
            <w:tcW w:w="2737" w:type="dxa"/>
          </w:tcPr>
          <w:p>
            <w:pPr>
              <w:tabs>
                <w:tab w:val="left" w:pos="3375"/>
              </w:tabs>
              <w:adjustRightInd w:val="0"/>
              <w:snapToGrid w:val="0"/>
              <w:rPr>
                <w:kern w:val="2"/>
                <w:sz w:val="21"/>
                <w:szCs w:val="21"/>
                <w:highlight w:val="none"/>
                <w:lang w:val="en-US" w:bidi="ar-SA"/>
              </w:rPr>
            </w:pPr>
            <w:r>
              <w:rPr>
                <w:rFonts w:hint="eastAsia"/>
                <w:kern w:val="2"/>
                <w:sz w:val="21"/>
                <w:szCs w:val="21"/>
                <w:highlight w:val="none"/>
                <w:lang w:val="en-US" w:bidi="ar-SA"/>
              </w:rPr>
              <w:t>本项目的特定资格要求</w:t>
            </w:r>
          </w:p>
          <w:p>
            <w:pPr>
              <w:pStyle w:val="30"/>
              <w:spacing w:before="27" w:line="242" w:lineRule="auto"/>
              <w:ind w:left="182" w:right="175"/>
              <w:rPr>
                <w:rFonts w:asciiTheme="minorEastAsia" w:hAnsiTheme="minorEastAsia" w:eastAsiaTheme="minorEastAsia"/>
                <w:sz w:val="21"/>
                <w:highlight w:val="none"/>
              </w:rPr>
            </w:pPr>
            <w:r>
              <w:rPr>
                <w:rFonts w:hint="eastAsia"/>
                <w:kern w:val="2"/>
                <w:sz w:val="21"/>
                <w:szCs w:val="21"/>
                <w:highlight w:val="none"/>
                <w:lang w:val="en-US" w:bidi="ar-SA"/>
              </w:rPr>
              <w:t>证明文件</w:t>
            </w:r>
          </w:p>
        </w:tc>
        <w:tc>
          <w:tcPr>
            <w:tcW w:w="2055" w:type="dxa"/>
          </w:tcPr>
          <w:p>
            <w:pPr>
              <w:pStyle w:val="30"/>
              <w:spacing w:before="27" w:line="242" w:lineRule="auto"/>
              <w:ind w:left="1234" w:right="175" w:hanging="1052"/>
              <w:rPr>
                <w:rFonts w:asciiTheme="minorEastAsia" w:hAnsiTheme="minorEastAsia" w:eastAsiaTheme="minorEastAsia"/>
                <w:sz w:val="21"/>
                <w:highlight w:val="none"/>
              </w:rPr>
            </w:pPr>
          </w:p>
        </w:tc>
        <w:tc>
          <w:tcPr>
            <w:tcW w:w="772" w:type="dxa"/>
            <w:tcBorders>
              <w:right w:val="nil"/>
            </w:tcBorders>
            <w:vAlign w:val="center"/>
          </w:tcPr>
          <w:p>
            <w:pPr>
              <w:pStyle w:val="30"/>
              <w:spacing w:before="27" w:line="242" w:lineRule="auto"/>
              <w:ind w:left="1234" w:right="175" w:hanging="1052"/>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第</w:t>
            </w:r>
          </w:p>
        </w:tc>
        <w:tc>
          <w:tcPr>
            <w:tcW w:w="770" w:type="dxa"/>
            <w:tcBorders>
              <w:left w:val="nil"/>
            </w:tcBorders>
            <w:vAlign w:val="center"/>
          </w:tcPr>
          <w:p>
            <w:pPr>
              <w:pStyle w:val="30"/>
              <w:spacing w:before="27" w:line="242" w:lineRule="auto"/>
              <w:ind w:left="1234" w:right="175" w:hanging="1052"/>
              <w:jc w:val="center"/>
              <w:rPr>
                <w:rFonts w:asciiTheme="minorEastAsia" w:hAnsiTheme="minorEastAsia" w:eastAsiaTheme="minorEastAsia"/>
                <w:sz w:val="21"/>
                <w:highlight w:val="none"/>
              </w:rPr>
            </w:pPr>
            <w:r>
              <w:rPr>
                <w:rFonts w:asciiTheme="minorEastAsia" w:hAnsiTheme="minorEastAsia" w:eastAsiaTheme="minorEastAsia"/>
                <w:sz w:val="21"/>
                <w:highlight w:val="none"/>
              </w:rPr>
              <w:t>页</w:t>
            </w:r>
          </w:p>
        </w:tc>
        <w:tc>
          <w:tcPr>
            <w:tcW w:w="2893" w:type="dxa"/>
            <w:gridSpan w:val="2"/>
          </w:tcPr>
          <w:p>
            <w:pPr>
              <w:pStyle w:val="30"/>
              <w:spacing w:before="27" w:line="242" w:lineRule="auto"/>
              <w:ind w:left="1234" w:right="175" w:hanging="1052"/>
              <w:rPr>
                <w:rFonts w:asciiTheme="minorEastAsia" w:hAnsiTheme="minorEastAsia" w:eastAsiaTheme="minorEastAsia"/>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28" w:type="dxa"/>
            <w:vAlign w:val="center"/>
          </w:tcPr>
          <w:p>
            <w:pPr>
              <w:pStyle w:val="30"/>
              <w:spacing w:before="164"/>
              <w:ind w:left="12"/>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7</w:t>
            </w:r>
          </w:p>
        </w:tc>
        <w:tc>
          <w:tcPr>
            <w:tcW w:w="2737" w:type="dxa"/>
            <w:vAlign w:val="center"/>
          </w:tcPr>
          <w:p>
            <w:pPr>
              <w:tabs>
                <w:tab w:val="left" w:pos="3375"/>
              </w:tabs>
              <w:adjustRightInd w:val="0"/>
              <w:snapToGrid w:val="0"/>
              <w:jc w:val="center"/>
              <w:rPr>
                <w:rFonts w:asciiTheme="minorEastAsia" w:hAnsiTheme="minorEastAsia" w:eastAsiaTheme="minorEastAsia"/>
                <w:sz w:val="21"/>
                <w:highlight w:val="none"/>
              </w:rPr>
            </w:pPr>
            <w:r>
              <w:rPr>
                <w:rFonts w:hint="eastAsia"/>
                <w:kern w:val="2"/>
                <w:sz w:val="21"/>
                <w:szCs w:val="21"/>
                <w:highlight w:val="none"/>
                <w:lang w:val="en-US" w:bidi="ar-SA"/>
              </w:rPr>
              <w:t>商务技术</w:t>
            </w:r>
          </w:p>
        </w:tc>
        <w:tc>
          <w:tcPr>
            <w:tcW w:w="2055" w:type="dxa"/>
            <w:vAlign w:val="center"/>
          </w:tcPr>
          <w:p>
            <w:pPr>
              <w:pStyle w:val="30"/>
              <w:jc w:val="center"/>
              <w:rPr>
                <w:rFonts w:asciiTheme="minorEastAsia" w:hAnsiTheme="minorEastAsia" w:eastAsiaTheme="minorEastAsia"/>
                <w:sz w:val="20"/>
                <w:highlight w:val="none"/>
              </w:rPr>
            </w:pPr>
          </w:p>
        </w:tc>
        <w:tc>
          <w:tcPr>
            <w:tcW w:w="772" w:type="dxa"/>
            <w:tcBorders>
              <w:right w:val="nil"/>
            </w:tcBorders>
            <w:vAlign w:val="center"/>
          </w:tcPr>
          <w:p>
            <w:pPr>
              <w:pStyle w:val="30"/>
              <w:spacing w:before="162"/>
              <w:ind w:right="204" w:rightChars="0"/>
              <w:jc w:val="center"/>
              <w:rPr>
                <w:rFonts w:asciiTheme="minorEastAsia" w:hAnsiTheme="minorEastAsia" w:eastAsiaTheme="minorEastAsia"/>
                <w:sz w:val="21"/>
                <w:highlight w:val="none"/>
              </w:rPr>
            </w:pPr>
            <w:r>
              <w:rPr>
                <w:rFonts w:hint="eastAsia" w:asciiTheme="minorEastAsia" w:hAnsiTheme="minorEastAsia" w:eastAsiaTheme="minorEastAsia"/>
                <w:color w:val="auto"/>
                <w:sz w:val="21"/>
                <w:highlight w:val="none"/>
                <w:lang w:val="en-US" w:eastAsia="zh-CN"/>
              </w:rPr>
              <w:t xml:space="preserve"> </w:t>
            </w:r>
            <w:r>
              <w:rPr>
                <w:rFonts w:asciiTheme="minorEastAsia" w:hAnsiTheme="minorEastAsia" w:eastAsiaTheme="minorEastAsia"/>
                <w:color w:val="auto"/>
                <w:sz w:val="21"/>
                <w:highlight w:val="none"/>
              </w:rPr>
              <w:t>第</w:t>
            </w:r>
          </w:p>
        </w:tc>
        <w:tc>
          <w:tcPr>
            <w:tcW w:w="770" w:type="dxa"/>
            <w:tcBorders>
              <w:left w:val="nil"/>
            </w:tcBorders>
            <w:vAlign w:val="center"/>
          </w:tcPr>
          <w:p>
            <w:pPr>
              <w:pStyle w:val="30"/>
              <w:spacing w:before="162"/>
              <w:ind w:firstLine="210" w:firstLineChars="100"/>
              <w:jc w:val="both"/>
              <w:rPr>
                <w:rFonts w:asciiTheme="minorEastAsia" w:hAnsiTheme="minorEastAsia" w:eastAsiaTheme="minorEastAsia"/>
                <w:sz w:val="21"/>
                <w:highlight w:val="none"/>
              </w:rPr>
            </w:pPr>
            <w:r>
              <w:rPr>
                <w:rFonts w:asciiTheme="minorEastAsia" w:hAnsiTheme="minorEastAsia" w:eastAsiaTheme="minorEastAsia"/>
                <w:color w:val="auto"/>
                <w:sz w:val="21"/>
                <w:highlight w:val="none"/>
              </w:rPr>
              <w:t>页</w:t>
            </w:r>
          </w:p>
        </w:tc>
        <w:tc>
          <w:tcPr>
            <w:tcW w:w="2893" w:type="dxa"/>
            <w:gridSpan w:val="2"/>
          </w:tcPr>
          <w:p>
            <w:pPr>
              <w:pStyle w:val="30"/>
              <w:rPr>
                <w:rFonts w:asciiTheme="minorEastAsia" w:hAnsiTheme="minorEastAsia" w:eastAsiaTheme="minorEastAsia"/>
                <w:sz w:val="20"/>
                <w:highlight w:val="none"/>
              </w:rPr>
            </w:pPr>
            <w:r>
              <w:rPr>
                <w:rFonts w:hint="eastAsia"/>
                <w:highlight w:val="none"/>
              </w:rPr>
              <w:t>按照评分标准提供相应的材料及方案，文件目录前提供评分索引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30"/>
              <w:spacing w:before="164"/>
              <w:ind w:left="12"/>
              <w:jc w:val="center"/>
              <w:rPr>
                <w:rFonts w:asciiTheme="minorEastAsia" w:hAnsiTheme="minorEastAsia" w:eastAsiaTheme="minorEastAsia"/>
                <w:sz w:val="21"/>
                <w:highlight w:val="none"/>
                <w:lang w:val="en-US"/>
              </w:rPr>
            </w:pPr>
            <w:r>
              <w:rPr>
                <w:rFonts w:hint="eastAsia" w:asciiTheme="minorEastAsia" w:hAnsiTheme="minorEastAsia" w:eastAsiaTheme="minorEastAsia"/>
                <w:sz w:val="21"/>
                <w:highlight w:val="none"/>
                <w:lang w:val="en-US"/>
              </w:rPr>
              <w:t>8</w:t>
            </w:r>
          </w:p>
        </w:tc>
        <w:tc>
          <w:tcPr>
            <w:tcW w:w="2737" w:type="dxa"/>
          </w:tcPr>
          <w:p>
            <w:pPr>
              <w:pStyle w:val="30"/>
              <w:spacing w:before="164"/>
              <w:ind w:right="198"/>
              <w:rPr>
                <w:rFonts w:asciiTheme="minorEastAsia" w:hAnsiTheme="minorEastAsia" w:eastAsiaTheme="minorEastAsia"/>
                <w:sz w:val="21"/>
                <w:highlight w:val="none"/>
              </w:rPr>
            </w:pPr>
            <w:r>
              <w:rPr>
                <w:rFonts w:hint="eastAsia"/>
                <w:highlight w:val="none"/>
              </w:rPr>
              <w:t>投标人认为需要提交的其他资料</w:t>
            </w:r>
          </w:p>
        </w:tc>
        <w:tc>
          <w:tcPr>
            <w:tcW w:w="2055" w:type="dxa"/>
          </w:tcPr>
          <w:p>
            <w:pPr>
              <w:pStyle w:val="30"/>
              <w:rPr>
                <w:rFonts w:asciiTheme="minorEastAsia" w:hAnsiTheme="minorEastAsia" w:eastAsiaTheme="minorEastAsia"/>
                <w:sz w:val="20"/>
                <w:highlight w:val="none"/>
              </w:rPr>
            </w:pPr>
          </w:p>
        </w:tc>
        <w:tc>
          <w:tcPr>
            <w:tcW w:w="772" w:type="dxa"/>
            <w:tcBorders>
              <w:right w:val="nil"/>
            </w:tcBorders>
            <w:vAlign w:val="center"/>
          </w:tcPr>
          <w:p>
            <w:pPr>
              <w:pStyle w:val="30"/>
              <w:spacing w:before="164"/>
              <w:ind w:right="204"/>
              <w:jc w:val="center"/>
              <w:rPr>
                <w:rFonts w:hint="eastAsia" w:asciiTheme="minorEastAsia" w:hAnsiTheme="minorEastAsia" w:eastAsiaTheme="minorEastAsia"/>
                <w:sz w:val="21"/>
                <w:highlight w:val="none"/>
                <w:lang w:val="en-US" w:eastAsia="zh-CN"/>
              </w:rPr>
            </w:pPr>
            <w:r>
              <w:rPr>
                <w:rFonts w:hint="eastAsia" w:asciiTheme="minorEastAsia" w:hAnsiTheme="minorEastAsia" w:eastAsiaTheme="minorEastAsia"/>
                <w:sz w:val="21"/>
                <w:highlight w:val="none"/>
                <w:lang w:val="en-US" w:eastAsia="zh-CN"/>
              </w:rPr>
              <w:t xml:space="preserve"> </w:t>
            </w:r>
            <w:r>
              <w:rPr>
                <w:rFonts w:asciiTheme="minorEastAsia" w:hAnsiTheme="minorEastAsia" w:eastAsiaTheme="minorEastAsia"/>
                <w:sz w:val="21"/>
                <w:highlight w:val="none"/>
              </w:rPr>
              <w:t>第</w:t>
            </w:r>
          </w:p>
        </w:tc>
        <w:tc>
          <w:tcPr>
            <w:tcW w:w="770" w:type="dxa"/>
            <w:tcBorders>
              <w:left w:val="nil"/>
            </w:tcBorders>
            <w:vAlign w:val="center"/>
          </w:tcPr>
          <w:p>
            <w:pPr>
              <w:pStyle w:val="30"/>
              <w:spacing w:before="164"/>
              <w:ind w:left="213"/>
              <w:jc w:val="both"/>
              <w:rPr>
                <w:rFonts w:asciiTheme="minorEastAsia" w:hAnsiTheme="minorEastAsia" w:eastAsiaTheme="minorEastAsia"/>
                <w:sz w:val="21"/>
                <w:highlight w:val="none"/>
              </w:rPr>
            </w:pPr>
            <w:r>
              <w:rPr>
                <w:rFonts w:asciiTheme="minorEastAsia" w:hAnsiTheme="minorEastAsia" w:eastAsiaTheme="minorEastAsia"/>
                <w:sz w:val="21"/>
                <w:highlight w:val="none"/>
              </w:rPr>
              <w:t>页</w:t>
            </w:r>
          </w:p>
        </w:tc>
        <w:tc>
          <w:tcPr>
            <w:tcW w:w="2893" w:type="dxa"/>
            <w:gridSpan w:val="2"/>
          </w:tcPr>
          <w:p>
            <w:pPr>
              <w:pStyle w:val="30"/>
              <w:jc w:val="center"/>
              <w:rPr>
                <w:rFonts w:asciiTheme="minorEastAsia" w:hAnsiTheme="minorEastAsia"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062" w:type="dxa"/>
            <w:gridSpan w:val="5"/>
          </w:tcPr>
          <w:p>
            <w:pPr>
              <w:pStyle w:val="30"/>
              <w:spacing w:before="168"/>
              <w:ind w:firstLine="3012" w:firstLineChars="1250"/>
              <w:rPr>
                <w:rFonts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lang w:val="en-US"/>
              </w:rPr>
              <w:t>报价</w:t>
            </w:r>
            <w:r>
              <w:rPr>
                <w:rFonts w:hint="eastAsia" w:asciiTheme="minorEastAsia" w:hAnsiTheme="minorEastAsia" w:eastAsiaTheme="minorEastAsia"/>
                <w:b/>
                <w:sz w:val="24"/>
                <w:highlight w:val="none"/>
              </w:rPr>
              <w:t>一览表</w:t>
            </w:r>
          </w:p>
        </w:tc>
        <w:tc>
          <w:tcPr>
            <w:tcW w:w="2893" w:type="dxa"/>
            <w:gridSpan w:val="2"/>
          </w:tcPr>
          <w:p>
            <w:pPr>
              <w:pStyle w:val="30"/>
              <w:spacing w:before="168"/>
              <w:ind w:left="1062" w:right="1057"/>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见附件</w:t>
            </w:r>
          </w:p>
        </w:tc>
      </w:tr>
    </w:tbl>
    <w:p>
      <w:pPr>
        <w:pStyle w:val="2"/>
        <w:spacing w:before="8"/>
        <w:rPr>
          <w:rFonts w:asciiTheme="minorEastAsia" w:hAnsiTheme="minorEastAsia" w:eastAsiaTheme="minorEastAsia"/>
          <w:b/>
          <w:sz w:val="37"/>
        </w:rPr>
      </w:pPr>
    </w:p>
    <w:p>
      <w:pPr>
        <w:pStyle w:val="7"/>
        <w:tabs>
          <w:tab w:val="left" w:pos="4956"/>
          <w:tab w:val="left" w:pos="7335"/>
          <w:tab w:val="left" w:pos="8178"/>
        </w:tabs>
        <w:spacing w:before="1"/>
        <w:ind w:left="6637" w:right="1508" w:hanging="5745"/>
        <w:rPr>
          <w:rFonts w:asciiTheme="minorEastAsia" w:hAnsiTheme="minorEastAsia" w:eastAsiaTheme="minorEastAsia"/>
        </w:rPr>
      </w:pPr>
      <w:r>
        <w:rPr>
          <w:rFonts w:hint="eastAsia" w:asciiTheme="minorEastAsia" w:hAnsiTheme="minorEastAsia" w:eastAsiaTheme="minorEastAsia"/>
        </w:rPr>
        <w:t>单位名</w:t>
      </w:r>
      <w:r>
        <w:rPr>
          <w:rFonts w:hint="eastAsia" w:asciiTheme="minorEastAsia" w:hAnsiTheme="minorEastAsia" w:eastAsiaTheme="minorEastAsia"/>
          <w:spacing w:val="-3"/>
        </w:rPr>
        <w:t>称</w:t>
      </w:r>
      <w:r>
        <w:rPr>
          <w:rFonts w:hint="eastAsia" w:asciiTheme="minorEastAsia" w:hAnsiTheme="minorEastAsia" w:eastAsiaTheme="minorEastAsia"/>
        </w:rPr>
        <w:t>（公</w:t>
      </w:r>
      <w:r>
        <w:rPr>
          <w:rFonts w:hint="eastAsia" w:asciiTheme="minorEastAsia" w:hAnsiTheme="minorEastAsia" w:eastAsiaTheme="minorEastAsia"/>
          <w:spacing w:val="-3"/>
        </w:rPr>
        <w:t>章</w:t>
      </w:r>
      <w:r>
        <w:rPr>
          <w:rFonts w:hint="eastAsia"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spacing w:val="-3"/>
        </w:rPr>
        <w:t>法定</w:t>
      </w:r>
      <w:r>
        <w:rPr>
          <w:rFonts w:hint="eastAsia" w:asciiTheme="minorEastAsia" w:hAnsiTheme="minorEastAsia" w:eastAsiaTheme="minorEastAsia"/>
        </w:rPr>
        <w:t>代表人</w:t>
      </w:r>
      <w:r>
        <w:rPr>
          <w:rFonts w:hint="eastAsia" w:asciiTheme="minorEastAsia" w:hAnsiTheme="minorEastAsia" w:eastAsiaTheme="minorEastAsia"/>
          <w:spacing w:val="-3"/>
        </w:rPr>
        <w:t>或</w:t>
      </w:r>
      <w:r>
        <w:rPr>
          <w:rFonts w:hint="eastAsia" w:asciiTheme="minorEastAsia" w:hAnsiTheme="minorEastAsia" w:eastAsiaTheme="minorEastAsia"/>
        </w:rPr>
        <w:t>被授</w:t>
      </w:r>
      <w:r>
        <w:rPr>
          <w:rFonts w:hint="eastAsia" w:asciiTheme="minorEastAsia" w:hAnsiTheme="minorEastAsia" w:eastAsiaTheme="minorEastAsia"/>
          <w:spacing w:val="-3"/>
        </w:rPr>
        <w:t>权人</w:t>
      </w:r>
      <w:r>
        <w:rPr>
          <w:rFonts w:hint="eastAsia" w:asciiTheme="minorEastAsia" w:hAnsiTheme="minorEastAsia" w:eastAsiaTheme="minorEastAsia"/>
        </w:rPr>
        <w:t>（签字</w:t>
      </w:r>
      <w:r>
        <w:rPr>
          <w:rFonts w:hint="eastAsia" w:asciiTheme="minorEastAsia" w:hAnsiTheme="minorEastAsia" w:eastAsiaTheme="minorEastAsia"/>
          <w:spacing w:val="-14"/>
        </w:rPr>
        <w:t xml:space="preserve">） </w:t>
      </w:r>
      <w:r>
        <w:rPr>
          <w:rFonts w:hint="eastAsia" w:asciiTheme="minorEastAsia" w:hAnsiTheme="minorEastAsia" w:eastAsiaTheme="minorEastAsia"/>
        </w:rPr>
        <w:t>年</w:t>
      </w:r>
      <w:r>
        <w:rPr>
          <w:rFonts w:hint="eastAsia" w:asciiTheme="minorEastAsia" w:hAnsiTheme="minorEastAsia" w:eastAsiaTheme="minorEastAsia"/>
        </w:rPr>
        <w:tab/>
      </w:r>
      <w:r>
        <w:rPr>
          <w:rFonts w:hint="eastAsia" w:asciiTheme="minorEastAsia" w:hAnsiTheme="minorEastAsia" w:eastAsiaTheme="minorEastAsia"/>
        </w:rPr>
        <w:t>月</w:t>
      </w:r>
      <w:r>
        <w:rPr>
          <w:rFonts w:hint="eastAsia" w:asciiTheme="minorEastAsia" w:hAnsiTheme="minorEastAsia" w:eastAsiaTheme="minorEastAsia"/>
        </w:rPr>
        <w:tab/>
      </w:r>
      <w:r>
        <w:rPr>
          <w:rFonts w:hint="eastAsia" w:asciiTheme="minorEastAsia" w:hAnsiTheme="minorEastAsia" w:eastAsiaTheme="minorEastAsia"/>
        </w:rPr>
        <w:t>日</w:t>
      </w:r>
    </w:p>
    <w:p>
      <w:pPr>
        <w:pStyle w:val="29"/>
        <w:numPr>
          <w:ilvl w:val="0"/>
          <w:numId w:val="3"/>
        </w:numPr>
        <w:tabs>
          <w:tab w:val="left" w:pos="1003"/>
        </w:tabs>
        <w:spacing w:line="241" w:lineRule="exact"/>
        <w:ind w:hanging="531"/>
        <w:rPr>
          <w:rFonts w:asciiTheme="minorEastAsia" w:hAnsiTheme="minorEastAsia" w:eastAsiaTheme="minorEastAsia"/>
          <w:sz w:val="21"/>
        </w:rPr>
      </w:pPr>
      <w:r>
        <w:rPr>
          <w:rFonts w:asciiTheme="minorEastAsia" w:hAnsiTheme="minorEastAsia" w:eastAsiaTheme="minorEastAsia"/>
          <w:spacing w:val="-6"/>
          <w:sz w:val="21"/>
        </w:rPr>
        <w:t xml:space="preserve">投标资料目录装订于投标文件内的第 </w:t>
      </w:r>
      <w:r>
        <w:rPr>
          <w:rFonts w:asciiTheme="minorEastAsia" w:hAnsiTheme="minorEastAsia" w:eastAsiaTheme="minorEastAsia"/>
          <w:sz w:val="21"/>
        </w:rPr>
        <w:t>1</w:t>
      </w:r>
      <w:r>
        <w:rPr>
          <w:rFonts w:asciiTheme="minorEastAsia" w:hAnsiTheme="minorEastAsia" w:eastAsiaTheme="minorEastAsia"/>
          <w:spacing w:val="-20"/>
          <w:sz w:val="21"/>
        </w:rPr>
        <w:t xml:space="preserve"> 页。</w:t>
      </w:r>
    </w:p>
    <w:p>
      <w:pPr>
        <w:pStyle w:val="29"/>
        <w:numPr>
          <w:ilvl w:val="0"/>
          <w:numId w:val="3"/>
        </w:numPr>
        <w:tabs>
          <w:tab w:val="left" w:pos="1003"/>
        </w:tabs>
        <w:spacing w:before="179"/>
        <w:ind w:hanging="531"/>
        <w:rPr>
          <w:rFonts w:asciiTheme="minorEastAsia" w:hAnsiTheme="minorEastAsia" w:eastAsiaTheme="minorEastAsia"/>
          <w:sz w:val="21"/>
        </w:rPr>
      </w:pPr>
      <w:r>
        <w:rPr>
          <w:rFonts w:asciiTheme="minorEastAsia" w:hAnsiTheme="minorEastAsia" w:eastAsiaTheme="minorEastAsia"/>
          <w:spacing w:val="-3"/>
          <w:sz w:val="21"/>
        </w:rPr>
        <w:t>《授权书》及相关《承诺函》、《报价</w:t>
      </w:r>
      <w:r>
        <w:rPr>
          <w:rFonts w:hint="eastAsia" w:asciiTheme="minorEastAsia" w:hAnsiTheme="minorEastAsia" w:eastAsiaTheme="minorEastAsia"/>
          <w:spacing w:val="-3"/>
          <w:sz w:val="21"/>
          <w:lang w:val="en-US"/>
        </w:rPr>
        <w:t>一览表</w:t>
      </w:r>
      <w:r>
        <w:rPr>
          <w:rFonts w:asciiTheme="minorEastAsia" w:hAnsiTheme="minorEastAsia" w:eastAsiaTheme="minorEastAsia"/>
          <w:spacing w:val="-3"/>
          <w:sz w:val="21"/>
        </w:rPr>
        <w:t>》等格式详见附件。</w:t>
      </w:r>
    </w:p>
    <w:p>
      <w:pPr>
        <w:rPr>
          <w:rFonts w:asciiTheme="minorEastAsia" w:hAnsiTheme="minorEastAsia" w:eastAsiaTheme="minorEastAsia"/>
          <w:sz w:val="21"/>
        </w:rPr>
        <w:sectPr>
          <w:footerReference r:id="rId4" w:type="default"/>
          <w:pgSz w:w="11910" w:h="16840"/>
          <w:pgMar w:top="1180" w:right="860" w:bottom="1120" w:left="660" w:header="0" w:footer="937" w:gutter="0"/>
          <w:pgNumType w:fmt="decimal"/>
          <w:cols w:space="720" w:num="1"/>
        </w:sectPr>
      </w:pPr>
    </w:p>
    <w:p>
      <w:pPr>
        <w:pStyle w:val="31"/>
        <w:widowControl/>
        <w:snapToGrid w:val="0"/>
        <w:spacing w:line="300" w:lineRule="auto"/>
        <w:ind w:firstLine="0" w:firstLineChars="0"/>
        <w:jc w:val="center"/>
        <w:rPr>
          <w:rFonts w:asciiTheme="minorEastAsia" w:hAnsiTheme="minorEastAsia" w:eastAsiaTheme="minorEastAsia"/>
          <w:b/>
          <w:sz w:val="36"/>
          <w:szCs w:val="36"/>
        </w:rPr>
      </w:pPr>
      <w:r>
        <w:rPr>
          <w:rFonts w:asciiTheme="minorEastAsia" w:hAnsiTheme="minorEastAsia" w:eastAsiaTheme="minorEastAsia"/>
          <w:b/>
          <w:sz w:val="36"/>
          <w:szCs w:val="36"/>
        </w:rPr>
        <w:t>关于资格的声明函</w:t>
      </w:r>
    </w:p>
    <w:p>
      <w:pPr>
        <w:spacing w:line="360" w:lineRule="auto"/>
        <w:jc w:val="center"/>
        <w:rPr>
          <w:rFonts w:asciiTheme="minorEastAsia" w:hAnsiTheme="minorEastAsia" w:eastAsiaTheme="minorEastAsia"/>
          <w:b/>
          <w:szCs w:val="21"/>
        </w:rPr>
      </w:pPr>
    </w:p>
    <w:p>
      <w:pPr>
        <w:pStyle w:val="20"/>
        <w:snapToGrid w:val="0"/>
        <w:spacing w:line="300" w:lineRule="auto"/>
        <w:rPr>
          <w:rFonts w:cs="仿宋_GB2312" w:asciiTheme="minorEastAsia" w:hAnsiTheme="minorEastAsia" w:eastAsiaTheme="minorEastAsia"/>
          <w:bCs/>
          <w:sz w:val="28"/>
          <w:szCs w:val="28"/>
        </w:rPr>
      </w:pPr>
      <w:r>
        <w:rPr>
          <w:rFonts w:hint="eastAsia" w:asciiTheme="minorEastAsia" w:hAnsiTheme="minorEastAsia" w:eastAsiaTheme="minorEastAsia"/>
          <w:sz w:val="28"/>
          <w:szCs w:val="28"/>
          <w:u w:val="single"/>
        </w:rPr>
        <w:t>南通市海门区区域社会治理现代化指挥中心</w:t>
      </w:r>
      <w:r>
        <w:rPr>
          <w:rFonts w:hint="eastAsia" w:cs="仿宋_GB2312" w:asciiTheme="minorEastAsia" w:hAnsiTheme="minorEastAsia" w:eastAsiaTheme="minorEastAsia"/>
          <w:bCs/>
          <w:sz w:val="28"/>
          <w:szCs w:val="28"/>
        </w:rPr>
        <w:t>：</w:t>
      </w:r>
    </w:p>
    <w:p>
      <w:pPr>
        <w:pStyle w:val="20"/>
        <w:snapToGrid w:val="0"/>
        <w:spacing w:line="30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我公司认真对照招标公告，符合贵方提出的资格要求，自愿报名参加投标，并保证提供的资料文件是准确的和真实的。提供虚假材料的愿意承担相应的法律责任。</w:t>
      </w:r>
    </w:p>
    <w:p>
      <w:pPr>
        <w:pStyle w:val="20"/>
        <w:widowControl w:val="0"/>
        <w:snapToGrid w:val="0"/>
        <w:spacing w:before="0" w:beforeAutospacing="0" w:after="0" w:afterAutospacing="0" w:line="300" w:lineRule="auto"/>
        <w:ind w:firstLine="280" w:firstLineChars="100"/>
        <w:rPr>
          <w:rFonts w:cs="仿宋_GB2312" w:asciiTheme="minorEastAsia" w:hAnsiTheme="minorEastAsia" w:eastAsiaTheme="minorEastAsia"/>
          <w:sz w:val="28"/>
          <w:szCs w:val="28"/>
        </w:rPr>
      </w:pPr>
      <w:r>
        <w:rPr>
          <w:rFonts w:hint="eastAsia" w:cs="仿宋_GB2312" w:asciiTheme="minorEastAsia" w:hAnsiTheme="minorEastAsia" w:eastAsiaTheme="minorEastAsia"/>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受处理的原因</w:t>
            </w:r>
          </w:p>
          <w:p>
            <w:pPr>
              <w:pStyle w:val="20"/>
              <w:snapToGrid w:val="0"/>
              <w:spacing w:line="300" w:lineRule="auto"/>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处理的内容</w:t>
            </w:r>
          </w:p>
          <w:p>
            <w:pPr>
              <w:pStyle w:val="20"/>
              <w:snapToGrid w:val="0"/>
              <w:spacing w:line="300" w:lineRule="auto"/>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r>
    </w:tbl>
    <w:p>
      <w:pPr>
        <w:pStyle w:val="5"/>
        <w:rPr>
          <w:rFonts w:asciiTheme="minorEastAsia" w:hAnsiTheme="minorEastAsia" w:eastAsiaTheme="minorEastAsia"/>
        </w:rPr>
      </w:pPr>
    </w:p>
    <w:p>
      <w:pPr>
        <w:pStyle w:val="20"/>
        <w:widowControl w:val="0"/>
        <w:spacing w:before="0" w:beforeAutospacing="0" w:after="0" w:afterAutospacing="0" w:line="560" w:lineRule="exact"/>
        <w:jc w:val="center"/>
        <w:rPr>
          <w:rFonts w:asciiTheme="minorEastAsia" w:hAnsiTheme="minorEastAsia" w:eastAsiaTheme="minorEastAsia"/>
          <w:b/>
          <w:sz w:val="32"/>
          <w:szCs w:val="32"/>
        </w:rPr>
      </w:pPr>
      <w:r>
        <w:rPr>
          <w:rFonts w:hint="eastAsia" w:cs="黑体" w:asciiTheme="minorEastAsia" w:hAnsiTheme="minorEastAsia" w:eastAsiaTheme="minorEastAsia"/>
          <w:sz w:val="30"/>
          <w:szCs w:val="30"/>
          <w:lang w:val="en-GB"/>
        </w:rPr>
        <w:br w:type="page"/>
      </w:r>
      <w:r>
        <w:rPr>
          <w:rFonts w:hint="eastAsia" w:asciiTheme="minorEastAsia" w:hAnsiTheme="minorEastAsia" w:eastAsiaTheme="minorEastAsia"/>
          <w:b/>
          <w:kern w:val="2"/>
          <w:sz w:val="32"/>
          <w:szCs w:val="32"/>
          <w:lang w:bidi="ar"/>
        </w:rPr>
        <w:t>法定代表人身份证明</w:t>
      </w:r>
    </w:p>
    <w:p>
      <w:pPr>
        <w:spacing w:line="480" w:lineRule="exact"/>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highlight w:val="white"/>
          <w:u w:val="single"/>
          <w:lang w:bidi="ar"/>
        </w:rPr>
        <w:t xml:space="preserve">        </w:t>
      </w:r>
      <w:r>
        <w:rPr>
          <w:rFonts w:hint="eastAsia" w:cs="仿宋_GB2312" w:asciiTheme="minorEastAsia" w:hAnsiTheme="minorEastAsia" w:eastAsiaTheme="minorEastAsia"/>
          <w:sz w:val="24"/>
          <w:highlight w:val="white"/>
          <w:lang w:bidi="ar"/>
        </w:rPr>
        <w:t>先生</w:t>
      </w:r>
      <w:r>
        <w:rPr>
          <w:rFonts w:asciiTheme="minorEastAsia" w:hAnsiTheme="minorEastAsia" w:eastAsiaTheme="minorEastAsia"/>
          <w:sz w:val="24"/>
          <w:highlight w:val="white"/>
          <w:lang w:bidi="ar"/>
        </w:rPr>
        <w:t>/</w:t>
      </w:r>
      <w:r>
        <w:rPr>
          <w:rFonts w:hint="eastAsia" w:cs="仿宋_GB2312" w:asciiTheme="minorEastAsia" w:hAnsiTheme="minorEastAsia" w:eastAsiaTheme="minorEastAsia"/>
          <w:sz w:val="24"/>
          <w:highlight w:val="white"/>
          <w:lang w:bidi="ar"/>
        </w:rPr>
        <w:t>女士：</w:t>
      </w:r>
      <w:r>
        <w:rPr>
          <w:rFonts w:asciiTheme="minorEastAsia" w:hAnsiTheme="minorEastAsia" w:eastAsiaTheme="minorEastAsia"/>
          <w:sz w:val="24"/>
          <w:highlight w:val="white"/>
          <w:lang w:bidi="ar"/>
        </w:rPr>
        <w:t xml:space="preserve"> </w:t>
      </w:r>
      <w:r>
        <w:rPr>
          <w:rFonts w:hint="eastAsia" w:cs="仿宋_GB2312" w:asciiTheme="minorEastAsia" w:hAnsiTheme="minorEastAsia" w:eastAsiaTheme="minorEastAsia"/>
          <w:sz w:val="24"/>
          <w:highlight w:val="white"/>
          <w:lang w:bidi="ar"/>
        </w:rPr>
        <w:t>现任我单位</w:t>
      </w:r>
      <w:r>
        <w:rPr>
          <w:rFonts w:asciiTheme="minorEastAsia" w:hAnsiTheme="minorEastAsia" w:eastAsiaTheme="minorEastAsia"/>
          <w:sz w:val="24"/>
          <w:highlight w:val="white"/>
          <w:u w:val="single"/>
          <w:lang w:bidi="ar"/>
        </w:rPr>
        <w:t xml:space="preserve">        </w:t>
      </w:r>
      <w:r>
        <w:rPr>
          <w:rFonts w:hint="eastAsia" w:cs="仿宋_GB2312" w:asciiTheme="minorEastAsia" w:hAnsiTheme="minorEastAsia" w:eastAsiaTheme="minorEastAsia"/>
          <w:sz w:val="24"/>
          <w:highlight w:val="white"/>
          <w:lang w:bidi="ar"/>
        </w:rPr>
        <w:t>职务，为法定代表人，特此证明。</w:t>
      </w:r>
    </w:p>
    <w:p>
      <w:pPr>
        <w:spacing w:line="480" w:lineRule="exact"/>
        <w:ind w:firstLine="480"/>
        <w:rPr>
          <w:rFonts w:asciiTheme="minorEastAsia" w:hAnsiTheme="minorEastAsia" w:eastAsiaTheme="minorEastAsia"/>
          <w:sz w:val="24"/>
          <w:u w:val="single"/>
        </w:rPr>
      </w:pPr>
      <w:r>
        <w:rPr>
          <w:rFonts w:hint="eastAsia" w:cs="仿宋_GB2312" w:asciiTheme="minorEastAsia" w:hAnsiTheme="minorEastAsia" w:eastAsiaTheme="minorEastAsia"/>
          <w:sz w:val="24"/>
          <w:lang w:bidi="ar"/>
        </w:rPr>
        <w:t>身份证号码：</w:t>
      </w:r>
      <w:r>
        <w:rPr>
          <w:rFonts w:asciiTheme="minorEastAsia" w:hAnsiTheme="minorEastAsia" w:eastAsiaTheme="minorEastAsia"/>
          <w:sz w:val="24"/>
          <w:highlight w:val="white"/>
          <w:u w:val="single"/>
          <w:lang w:bidi="ar"/>
        </w:rPr>
        <w:t xml:space="preserve">                                               </w:t>
      </w:r>
    </w:p>
    <w:p>
      <w:pPr>
        <w:spacing w:line="480" w:lineRule="exact"/>
        <w:ind w:firstLine="480"/>
        <w:rPr>
          <w:rFonts w:asciiTheme="minorEastAsia" w:hAnsiTheme="minorEastAsia" w:eastAsiaTheme="minorEastAsia"/>
          <w:sz w:val="24"/>
        </w:rPr>
      </w:pPr>
    </w:p>
    <w:p>
      <w:pPr>
        <w:pStyle w:val="32"/>
        <w:widowControl/>
        <w:spacing w:line="60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注：提供法定代表人的身份证复印件盖公章</w:t>
      </w:r>
    </w:p>
    <w:p>
      <w:pPr>
        <w:pStyle w:val="4"/>
        <w:jc w:val="both"/>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5"/>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r>
        <w:rPr>
          <w:rFonts w:hint="eastAsia" w:asciiTheme="minorEastAsia" w:hAnsiTheme="minorEastAsia" w:eastAsiaTheme="minorEastAsia"/>
          <w:szCs w:val="21"/>
        </w:rPr>
        <w:t>授权委托书</w:t>
      </w:r>
    </w:p>
    <w:p>
      <w:pPr>
        <w:spacing w:line="560" w:lineRule="exact"/>
        <w:rPr>
          <w:rFonts w:asciiTheme="minorEastAsia" w:hAnsiTheme="minorEastAsia" w:eastAsiaTheme="minorEastAsia"/>
          <w:bCs/>
          <w:sz w:val="28"/>
          <w:szCs w:val="28"/>
        </w:rPr>
      </w:pPr>
      <w:r>
        <w:rPr>
          <w:rFonts w:hint="eastAsia" w:asciiTheme="minorEastAsia" w:hAnsiTheme="minorEastAsia" w:eastAsiaTheme="minorEastAsia"/>
          <w:sz w:val="28"/>
          <w:szCs w:val="28"/>
          <w:u w:val="single"/>
        </w:rPr>
        <w:t>南通市海门区区域社会治理现代化指挥中心</w:t>
      </w:r>
      <w:r>
        <w:rPr>
          <w:rFonts w:hint="eastAsia" w:asciiTheme="minorEastAsia" w:hAnsiTheme="minorEastAsia" w:eastAsiaTheme="minorEastAsia"/>
          <w:bCs/>
          <w:sz w:val="28"/>
          <w:szCs w:val="28"/>
        </w:rPr>
        <w:t>：</w:t>
      </w:r>
    </w:p>
    <w:p>
      <w:pPr>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兹授权</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Cs w:val="21"/>
        </w:rPr>
        <w:t>被授权人的姓名、职务</w:t>
      </w:r>
      <w:r>
        <w:rPr>
          <w:rFonts w:hint="eastAsia" w:asciiTheme="minorEastAsia" w:hAnsiTheme="minorEastAsia" w:eastAsiaTheme="minorEastAsia"/>
          <w:sz w:val="28"/>
          <w:szCs w:val="28"/>
        </w:rPr>
        <w:t>）代表我公司参加</w:t>
      </w:r>
      <w:r>
        <w:rPr>
          <w:rFonts w:hint="eastAsia" w:asciiTheme="minorEastAsia" w:hAnsiTheme="minorEastAsia" w:eastAsiaTheme="minorEastAsia"/>
          <w:sz w:val="28"/>
          <w:szCs w:val="28"/>
          <w:u w:val="single"/>
        </w:rPr>
        <w:t xml:space="preserve">                                               南通市海门区区域社会治理现代化指挥中心采购海门</w:t>
      </w:r>
      <w:r>
        <w:rPr>
          <w:rFonts w:hint="eastAsia" w:asciiTheme="minorEastAsia" w:hAnsiTheme="minorEastAsia" w:eastAsiaTheme="minorEastAsia"/>
          <w:sz w:val="28"/>
          <w:szCs w:val="28"/>
          <w:u w:val="single"/>
          <w:lang w:val="en-US"/>
        </w:rPr>
        <w:t>区</w:t>
      </w:r>
      <w:r>
        <w:rPr>
          <w:rFonts w:hint="eastAsia" w:asciiTheme="minorEastAsia" w:hAnsiTheme="minorEastAsia" w:eastAsiaTheme="minorEastAsia"/>
          <w:sz w:val="28"/>
          <w:szCs w:val="28"/>
          <w:u w:val="single"/>
        </w:rPr>
        <w:t>全景全域</w:t>
      </w:r>
      <w:r>
        <w:rPr>
          <w:rFonts w:hint="eastAsia" w:asciiTheme="minorEastAsia" w:hAnsiTheme="minorEastAsia" w:eastAsiaTheme="minorEastAsia"/>
          <w:sz w:val="28"/>
          <w:szCs w:val="28"/>
          <w:u w:val="single"/>
          <w:lang w:val="en-US"/>
        </w:rPr>
        <w:t>指挥调度</w:t>
      </w:r>
      <w:r>
        <w:rPr>
          <w:rFonts w:hint="eastAsia" w:asciiTheme="minorEastAsia" w:hAnsiTheme="minorEastAsia" w:eastAsiaTheme="minorEastAsia"/>
          <w:sz w:val="28"/>
          <w:szCs w:val="28"/>
          <w:u w:val="single"/>
        </w:rPr>
        <w:t>平台和</w:t>
      </w:r>
      <w:r>
        <w:rPr>
          <w:rFonts w:hint="eastAsia" w:asciiTheme="minorEastAsia" w:hAnsiTheme="minorEastAsia" w:eastAsiaTheme="minorEastAsia"/>
          <w:sz w:val="28"/>
          <w:szCs w:val="28"/>
          <w:u w:val="single"/>
          <w:lang w:val="en-US"/>
        </w:rPr>
        <w:t>海门区</w:t>
      </w:r>
      <w:r>
        <w:rPr>
          <w:rFonts w:hint="eastAsia" w:asciiTheme="minorEastAsia" w:hAnsiTheme="minorEastAsia" w:eastAsiaTheme="minorEastAsia"/>
          <w:sz w:val="28"/>
          <w:szCs w:val="28"/>
          <w:u w:val="single"/>
        </w:rPr>
        <w:t>政务服务总客服系统三级等保测评项目</w:t>
      </w:r>
      <w:r>
        <w:rPr>
          <w:rFonts w:hint="eastAsia" w:asciiTheme="minorEastAsia" w:hAnsiTheme="minorEastAsia" w:eastAsiaTheme="minorEastAsia"/>
          <w:sz w:val="28"/>
          <w:szCs w:val="28"/>
        </w:rPr>
        <w:t>的招标采购活动，全权处理一切与该项目招标有关的事务。其在办理上述事宜过程中所签署的所有文件我公司均予以承认，我公司对被授权人签名的所有文件负全部责任。</w:t>
      </w:r>
    </w:p>
    <w:p>
      <w:pPr>
        <w:spacing w:line="560" w:lineRule="exact"/>
        <w:rPr>
          <w:rFonts w:asciiTheme="minorEastAsia" w:hAnsiTheme="minorEastAsia" w:eastAsiaTheme="minorEastAsia"/>
          <w:szCs w:val="21"/>
        </w:rPr>
      </w:pPr>
      <w:r>
        <w:rPr>
          <w:rFonts w:hint="eastAsia" w:asciiTheme="minorEastAsia" w:hAnsiTheme="minorEastAsia" w:eastAsiaTheme="minorEastAsia"/>
          <w:szCs w:val="21"/>
        </w:rPr>
        <w:t>附：授权代表情况：</w:t>
      </w:r>
    </w:p>
    <w:p>
      <w:pPr>
        <w:spacing w:line="560" w:lineRule="exact"/>
        <w:rPr>
          <w:rFonts w:asciiTheme="minorEastAsia" w:hAnsiTheme="minorEastAsia" w:eastAsiaTheme="minorEastAsia"/>
          <w:szCs w:val="21"/>
          <w:u w:val="single"/>
        </w:rPr>
      </w:pPr>
      <w:r>
        <w:rPr>
          <w:rFonts w:hint="eastAsia" w:asciiTheme="minorEastAsia" w:hAnsiTheme="minorEastAsia" w:eastAsiaTheme="minorEastAsia"/>
          <w:szCs w:val="21"/>
        </w:rPr>
        <w:t>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p>
    <w:p>
      <w:pPr>
        <w:spacing w:line="560" w:lineRule="exact"/>
        <w:rPr>
          <w:rFonts w:asciiTheme="minorEastAsia" w:hAnsiTheme="minorEastAsia" w:eastAsiaTheme="minorEastAsia"/>
          <w:szCs w:val="21"/>
          <w:u w:val="single"/>
        </w:rPr>
      </w:pPr>
      <w:r>
        <w:rPr>
          <w:rFonts w:hint="eastAsia" w:asciiTheme="minorEastAsia" w:hAnsiTheme="minorEastAsia" w:eastAsiaTheme="minorEastAsia"/>
          <w:szCs w:val="21"/>
        </w:rPr>
        <w:t>身份证号码：</w:t>
      </w:r>
      <w:r>
        <w:rPr>
          <w:rFonts w:hint="eastAsia" w:asciiTheme="minorEastAsia" w:hAnsiTheme="minorEastAsia" w:eastAsiaTheme="minorEastAsia"/>
          <w:szCs w:val="21"/>
          <w:u w:val="single"/>
        </w:rPr>
        <w:t xml:space="preserve">                               </w:t>
      </w:r>
    </w:p>
    <w:p>
      <w:pPr>
        <w:spacing w:line="560" w:lineRule="exact"/>
        <w:rPr>
          <w:rFonts w:asciiTheme="minorEastAsia" w:hAnsiTheme="minorEastAsia" w:eastAsiaTheme="minorEastAsia"/>
          <w:szCs w:val="21"/>
        </w:rPr>
      </w:pPr>
      <w:r>
        <w:rPr>
          <w:rFonts w:hint="eastAsia" w:asciiTheme="minorEastAsia" w:hAnsiTheme="minorEastAsia" w:eastAsiaTheme="minorEastAsia"/>
          <w:szCs w:val="21"/>
        </w:rPr>
        <w:t>详细通讯地址：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邮政编码：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spacing w:line="560" w:lineRule="exact"/>
        <w:rPr>
          <w:rFonts w:asciiTheme="minorEastAsia" w:hAnsiTheme="minorEastAsia" w:eastAsiaTheme="minorEastAsia"/>
          <w:szCs w:val="21"/>
        </w:rPr>
      </w:pP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单位名称（公章）             </w:t>
      </w:r>
      <w:r>
        <w:rPr>
          <w:rFonts w:hint="eastAsia" w:asciiTheme="minorEastAsia" w:hAnsiTheme="minorEastAsia" w:eastAsiaTheme="minorEastAsia"/>
          <w:bCs/>
          <w:sz w:val="28"/>
          <w:szCs w:val="28"/>
        </w:rPr>
        <w:t>法定代表人（签字）</w:t>
      </w:r>
    </w:p>
    <w:p>
      <w:pPr>
        <w:spacing w:line="560" w:lineRule="exact"/>
        <w:ind w:firstLine="1400" w:firstLineChars="500"/>
        <w:rPr>
          <w:rFonts w:asciiTheme="minorEastAsia" w:hAnsiTheme="minorEastAsia" w:eastAsiaTheme="minorEastAsia"/>
          <w:szCs w:val="21"/>
        </w:rPr>
      </w:pPr>
      <w:r>
        <w:rPr>
          <w:rFonts w:hint="eastAsia" w:asciiTheme="minorEastAsia" w:hAnsiTheme="minorEastAsia" w:eastAsiaTheme="minorEastAsia"/>
          <w:sz w:val="28"/>
          <w:szCs w:val="28"/>
        </w:rPr>
        <w:t xml:space="preserve">                                  年   月    日  </w:t>
      </w:r>
    </w:p>
    <w:p>
      <w:pPr>
        <w:pStyle w:val="5"/>
        <w:ind w:firstLine="0"/>
        <w:rPr>
          <w:rFonts w:cs="黑体" w:asciiTheme="minorEastAsia" w:hAnsiTheme="minorEastAsia" w:eastAsiaTheme="minorEastAsia"/>
          <w:sz w:val="30"/>
          <w:szCs w:val="30"/>
          <w:lang w:val="en-GB"/>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pStyle w:val="33"/>
        <w:spacing w:line="560" w:lineRule="atLeast"/>
        <w:jc w:val="center"/>
        <w:rPr>
          <w:rFonts w:cs="宋体"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b/>
          <w:color w:val="000000"/>
          <w:sz w:val="30"/>
          <w:szCs w:val="30"/>
        </w:rPr>
      </w:pPr>
      <w:r>
        <w:rPr>
          <w:rFonts w:hint="eastAsia"/>
          <w:b/>
          <w:color w:val="000000"/>
          <w:sz w:val="30"/>
          <w:szCs w:val="30"/>
        </w:rPr>
        <w:t>投标人符合《政府采购法》第二十二条规定条件的声明函</w:t>
      </w:r>
    </w:p>
    <w:p>
      <w:pPr>
        <w:spacing w:line="460" w:lineRule="exact"/>
        <w:rPr>
          <w:b/>
          <w:bCs/>
          <w:color w:val="000000"/>
          <w:sz w:val="44"/>
          <w:szCs w:val="44"/>
        </w:rPr>
      </w:pPr>
    </w:p>
    <w:p>
      <w:pPr>
        <w:spacing w:line="520" w:lineRule="exact"/>
        <w:ind w:firstLine="480" w:firstLineChars="200"/>
        <w:rPr>
          <w:b/>
          <w:bCs/>
          <w:color w:val="000000"/>
          <w:sz w:val="24"/>
        </w:rPr>
      </w:pPr>
      <w:r>
        <w:rPr>
          <w:rFonts w:hint="eastAsia"/>
          <w:bCs/>
          <w:color w:val="000000"/>
          <w:sz w:val="24"/>
        </w:rPr>
        <w:t>我单位参加</w:t>
      </w:r>
      <w:r>
        <w:rPr>
          <w:rFonts w:hint="eastAsia" w:cs="仿宋"/>
          <w:sz w:val="24"/>
          <w:szCs w:val="24"/>
          <w:u w:val="single"/>
        </w:rPr>
        <w:t>南通市海门区区域社会治理现代化指挥中心采购海门</w:t>
      </w:r>
      <w:r>
        <w:rPr>
          <w:rFonts w:hint="eastAsia" w:cs="仿宋"/>
          <w:sz w:val="24"/>
          <w:szCs w:val="24"/>
          <w:u w:val="single"/>
          <w:lang w:val="en-US"/>
        </w:rPr>
        <w:t>区</w:t>
      </w:r>
      <w:r>
        <w:rPr>
          <w:rFonts w:hint="eastAsia" w:cs="仿宋"/>
          <w:sz w:val="24"/>
          <w:szCs w:val="24"/>
          <w:u w:val="single"/>
        </w:rPr>
        <w:t>全景全域</w:t>
      </w:r>
      <w:r>
        <w:rPr>
          <w:rFonts w:hint="eastAsia" w:cs="仿宋"/>
          <w:sz w:val="24"/>
          <w:szCs w:val="24"/>
          <w:u w:val="single"/>
          <w:lang w:val="en-US"/>
        </w:rPr>
        <w:t>指挥调度</w:t>
      </w:r>
      <w:r>
        <w:rPr>
          <w:rFonts w:hint="eastAsia" w:cs="仿宋"/>
          <w:sz w:val="24"/>
          <w:szCs w:val="24"/>
          <w:u w:val="single"/>
        </w:rPr>
        <w:t>平台和</w:t>
      </w:r>
      <w:r>
        <w:rPr>
          <w:rFonts w:hint="eastAsia" w:cs="仿宋"/>
          <w:sz w:val="24"/>
          <w:szCs w:val="24"/>
          <w:u w:val="single"/>
          <w:lang w:val="en-US"/>
        </w:rPr>
        <w:t>海门区</w:t>
      </w:r>
      <w:r>
        <w:rPr>
          <w:rFonts w:hint="eastAsia" w:cs="仿宋"/>
          <w:sz w:val="24"/>
          <w:szCs w:val="24"/>
          <w:u w:val="single"/>
        </w:rPr>
        <w:t>政务服务总客服系统三级等保测评项目</w:t>
      </w:r>
      <w:r>
        <w:rPr>
          <w:rFonts w:hint="eastAsia"/>
          <w:bCs/>
          <w:color w:val="000000"/>
          <w:sz w:val="24"/>
          <w:szCs w:val="21"/>
        </w:rPr>
        <w:t>投标活动。针对《中华人民共和国政府采购法》第二十二条规定做出如下声明：</w:t>
      </w:r>
    </w:p>
    <w:p>
      <w:pPr>
        <w:spacing w:line="520" w:lineRule="exact"/>
        <w:ind w:firstLine="482"/>
        <w:rPr>
          <w:color w:val="000000"/>
          <w:sz w:val="24"/>
        </w:rPr>
      </w:pPr>
      <w:r>
        <w:rPr>
          <w:rFonts w:hint="eastAsia"/>
          <w:bCs/>
          <w:color w:val="000000"/>
          <w:sz w:val="24"/>
          <w:szCs w:val="21"/>
        </w:rPr>
        <w:t>1.我单位具有独立承担民事责任的能力；</w:t>
      </w:r>
    </w:p>
    <w:p>
      <w:pPr>
        <w:spacing w:line="520" w:lineRule="exact"/>
        <w:ind w:firstLine="482"/>
        <w:rPr>
          <w:color w:val="000000"/>
          <w:sz w:val="24"/>
        </w:rPr>
      </w:pPr>
      <w:r>
        <w:rPr>
          <w:rFonts w:hint="eastAsia"/>
          <w:color w:val="000000"/>
          <w:sz w:val="24"/>
        </w:rPr>
        <w:t>2.我单位具有良好的商业信誉和健全的财务会计制度；</w:t>
      </w:r>
    </w:p>
    <w:p>
      <w:pPr>
        <w:spacing w:line="520" w:lineRule="exact"/>
        <w:ind w:firstLine="482"/>
        <w:rPr>
          <w:color w:val="000000"/>
          <w:sz w:val="24"/>
        </w:rPr>
      </w:pPr>
      <w:r>
        <w:rPr>
          <w:rFonts w:hint="eastAsia"/>
          <w:color w:val="000000"/>
          <w:sz w:val="24"/>
        </w:rPr>
        <w:t>3.我单位具有履行合同所必需的设备和专业技术能力；</w:t>
      </w:r>
    </w:p>
    <w:p>
      <w:pPr>
        <w:spacing w:line="520" w:lineRule="exact"/>
        <w:ind w:firstLine="482"/>
        <w:rPr>
          <w:color w:val="000000"/>
          <w:sz w:val="24"/>
        </w:rPr>
      </w:pPr>
      <w:r>
        <w:rPr>
          <w:rFonts w:hint="eastAsia"/>
          <w:color w:val="000000"/>
          <w:sz w:val="24"/>
        </w:rPr>
        <w:t>4.我单位有依法缴纳税收和社会保障资金的良好记录；</w:t>
      </w:r>
    </w:p>
    <w:p>
      <w:pPr>
        <w:spacing w:line="520" w:lineRule="exact"/>
        <w:ind w:firstLine="482"/>
        <w:rPr>
          <w:color w:val="000000"/>
          <w:sz w:val="24"/>
        </w:rPr>
      </w:pPr>
      <w:r>
        <w:rPr>
          <w:rFonts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color w:val="000000"/>
          <w:sz w:val="24"/>
        </w:rPr>
      </w:pPr>
      <w:r>
        <w:rPr>
          <w:rFonts w:hint="eastAsia"/>
          <w:color w:val="000000"/>
          <w:sz w:val="24"/>
        </w:rPr>
        <w:t>6.我单位满足法律、行政法规规定的其他条件。</w:t>
      </w:r>
    </w:p>
    <w:p>
      <w:pPr>
        <w:spacing w:line="500" w:lineRule="exact"/>
        <w:ind w:firstLine="482"/>
        <w:rPr>
          <w:color w:val="000000"/>
          <w:sz w:val="24"/>
        </w:rPr>
      </w:pPr>
    </w:p>
    <w:p>
      <w:pPr>
        <w:spacing w:line="500" w:lineRule="exact"/>
        <w:rPr>
          <w:color w:val="000000"/>
          <w:sz w:val="24"/>
        </w:rPr>
      </w:pPr>
    </w:p>
    <w:p>
      <w:pPr>
        <w:spacing w:line="500" w:lineRule="exact"/>
        <w:rPr>
          <w:bCs/>
          <w:color w:val="000000"/>
          <w:sz w:val="24"/>
          <w:szCs w:val="21"/>
        </w:rPr>
      </w:pPr>
    </w:p>
    <w:p>
      <w:pPr>
        <w:spacing w:line="500" w:lineRule="exact"/>
        <w:rPr>
          <w:bCs/>
          <w:color w:val="000000"/>
          <w:sz w:val="24"/>
          <w:szCs w:val="21"/>
        </w:rPr>
      </w:pPr>
    </w:p>
    <w:p>
      <w:pPr>
        <w:spacing w:line="500" w:lineRule="exact"/>
        <w:rPr>
          <w:bCs/>
          <w:color w:val="000000"/>
          <w:sz w:val="24"/>
          <w:szCs w:val="21"/>
        </w:rPr>
      </w:pPr>
    </w:p>
    <w:p>
      <w:pPr>
        <w:spacing w:line="460" w:lineRule="exact"/>
        <w:jc w:val="center"/>
        <w:rPr>
          <w:bCs/>
          <w:color w:val="000000"/>
          <w:sz w:val="24"/>
          <w:szCs w:val="21"/>
        </w:rPr>
      </w:pPr>
      <w:r>
        <w:rPr>
          <w:rFonts w:hint="eastAsia"/>
          <w:bCs/>
          <w:color w:val="000000"/>
          <w:sz w:val="24"/>
          <w:szCs w:val="21"/>
        </w:rPr>
        <w:t>承诺人名称（公章）：</w:t>
      </w:r>
    </w:p>
    <w:p>
      <w:pPr>
        <w:spacing w:line="460" w:lineRule="exact"/>
        <w:jc w:val="right"/>
        <w:rPr>
          <w:bCs/>
          <w:color w:val="000000"/>
          <w:sz w:val="24"/>
          <w:szCs w:val="21"/>
        </w:rPr>
      </w:pPr>
    </w:p>
    <w:p>
      <w:pPr>
        <w:spacing w:line="460" w:lineRule="exact"/>
        <w:jc w:val="center"/>
        <w:rPr>
          <w:bCs/>
          <w:color w:val="000000"/>
          <w:sz w:val="24"/>
          <w:szCs w:val="21"/>
        </w:rPr>
      </w:pPr>
      <w:r>
        <w:rPr>
          <w:rFonts w:hint="eastAsia"/>
          <w:bCs/>
          <w:color w:val="000000"/>
          <w:sz w:val="24"/>
          <w:szCs w:val="21"/>
          <w:lang w:val="en-US"/>
        </w:rPr>
        <w:t xml:space="preserve">                                         </w:t>
      </w:r>
      <w:r>
        <w:rPr>
          <w:rFonts w:hint="eastAsia"/>
          <w:bCs/>
          <w:color w:val="000000"/>
          <w:sz w:val="24"/>
          <w:szCs w:val="21"/>
        </w:rPr>
        <w:t>日期：______年</w:t>
      </w:r>
      <w:r>
        <w:rPr>
          <w:rFonts w:hint="eastAsia"/>
          <w:bCs/>
          <w:color w:val="000000"/>
          <w:sz w:val="24"/>
          <w:szCs w:val="21"/>
          <w:lang w:val="en-US"/>
        </w:rPr>
        <w:t xml:space="preserve">   </w:t>
      </w:r>
      <w:r>
        <w:rPr>
          <w:rFonts w:hint="eastAsia"/>
          <w:bCs/>
          <w:color w:val="000000"/>
          <w:sz w:val="24"/>
          <w:szCs w:val="21"/>
        </w:rPr>
        <w:t>月</w:t>
      </w:r>
      <w:r>
        <w:rPr>
          <w:rFonts w:hint="eastAsia"/>
          <w:bCs/>
          <w:color w:val="000000"/>
          <w:sz w:val="24"/>
          <w:szCs w:val="21"/>
          <w:lang w:val="en-US"/>
        </w:rPr>
        <w:t xml:space="preserve">   </w:t>
      </w:r>
      <w:r>
        <w:rPr>
          <w:rFonts w:hint="eastAsia"/>
          <w:bCs/>
          <w:color w:val="000000"/>
          <w:sz w:val="24"/>
          <w:szCs w:val="21"/>
        </w:rPr>
        <w:t>日</w:t>
      </w:r>
    </w:p>
    <w:p>
      <w:pPr>
        <w:pStyle w:val="5"/>
      </w:pPr>
    </w:p>
    <w:p>
      <w:pPr>
        <w:pStyle w:val="5"/>
      </w:pPr>
    </w:p>
    <w:p>
      <w:pPr>
        <w:pStyle w:val="5"/>
      </w:pPr>
    </w:p>
    <w:p>
      <w:pPr>
        <w:pStyle w:val="5"/>
      </w:pPr>
    </w:p>
    <w:p>
      <w:pPr>
        <w:snapToGrid w:val="0"/>
        <w:spacing w:line="300" w:lineRule="auto"/>
        <w:outlineLvl w:val="0"/>
        <w:rPr>
          <w:sz w:val="32"/>
          <w:szCs w:val="32"/>
        </w:rPr>
      </w:pPr>
    </w:p>
    <w:p>
      <w:pPr>
        <w:snapToGrid w:val="0"/>
        <w:spacing w:line="300" w:lineRule="auto"/>
        <w:outlineLvl w:val="0"/>
        <w:rPr>
          <w:sz w:val="32"/>
          <w:szCs w:val="32"/>
        </w:rPr>
      </w:pPr>
      <w:r>
        <w:rPr>
          <w:rFonts w:hint="eastAsia"/>
          <w:sz w:val="32"/>
          <w:szCs w:val="32"/>
        </w:rPr>
        <w:t>附件</w:t>
      </w:r>
    </w:p>
    <w:p>
      <w:pPr>
        <w:widowControl/>
        <w:spacing w:line="360" w:lineRule="auto"/>
        <w:ind w:firstLine="643" w:firstLineChars="200"/>
        <w:jc w:val="center"/>
        <w:rPr>
          <w:rFonts w:hAnsi="Times New Roman"/>
          <w:b/>
          <w:sz w:val="32"/>
          <w:szCs w:val="32"/>
        </w:rPr>
      </w:pPr>
      <w:r>
        <w:rPr>
          <w:rFonts w:hint="eastAsia"/>
          <w:b/>
          <w:sz w:val="32"/>
          <w:szCs w:val="32"/>
        </w:rPr>
        <w:t>中小企业声明函</w:t>
      </w:r>
    </w:p>
    <w:p>
      <w:pPr>
        <w:widowControl/>
        <w:spacing w:line="360" w:lineRule="auto"/>
        <w:ind w:firstLine="560" w:firstLineChars="200"/>
        <w:rPr>
          <w:rFonts w:hAnsi="Times New Roman"/>
          <w:sz w:val="28"/>
          <w:szCs w:val="28"/>
        </w:rPr>
      </w:pPr>
      <w:r>
        <w:rPr>
          <w:rFonts w:hint="eastAsia"/>
          <w:sz w:val="28"/>
          <w:szCs w:val="28"/>
        </w:rPr>
        <w:t>本公司郑重声明，根据《政府采购促进中小企业发展管理办法》（财库﹝</w:t>
      </w:r>
      <w:r>
        <w:rPr>
          <w:sz w:val="28"/>
          <w:szCs w:val="28"/>
        </w:rPr>
        <w:t>2020</w:t>
      </w:r>
      <w:r>
        <w:rPr>
          <w:rFonts w:hint="eastAsia"/>
          <w:sz w:val="28"/>
          <w:szCs w:val="28"/>
        </w:rPr>
        <w:t>﹞</w:t>
      </w:r>
      <w:r>
        <w:rPr>
          <w:sz w:val="28"/>
          <w:szCs w:val="28"/>
        </w:rPr>
        <w:t xml:space="preserve">46 </w:t>
      </w:r>
      <w:r>
        <w:rPr>
          <w:rFonts w:hint="eastAsia"/>
          <w:sz w:val="28"/>
          <w:szCs w:val="28"/>
        </w:rPr>
        <w:t>号）的规定，本公司参加</w:t>
      </w:r>
      <w:r>
        <w:rPr>
          <w:rFonts w:hint="eastAsia"/>
          <w:sz w:val="28"/>
          <w:szCs w:val="28"/>
          <w:u w:val="single"/>
        </w:rPr>
        <w:t>南通市海门区区域社会治理现代化指挥中心采购海门</w:t>
      </w:r>
      <w:r>
        <w:rPr>
          <w:rFonts w:hint="eastAsia"/>
          <w:sz w:val="28"/>
          <w:szCs w:val="28"/>
          <w:u w:val="single"/>
          <w:lang w:val="en-US"/>
        </w:rPr>
        <w:t>区</w:t>
      </w:r>
      <w:r>
        <w:rPr>
          <w:rFonts w:hint="eastAsia"/>
          <w:sz w:val="28"/>
          <w:szCs w:val="28"/>
          <w:u w:val="single"/>
        </w:rPr>
        <w:t>可视化</w:t>
      </w:r>
      <w:r>
        <w:rPr>
          <w:rFonts w:hint="eastAsia"/>
          <w:sz w:val="28"/>
          <w:szCs w:val="28"/>
          <w:u w:val="single"/>
          <w:lang w:val="en-US"/>
        </w:rPr>
        <w:t>联动指挥</w:t>
      </w:r>
      <w:r>
        <w:rPr>
          <w:rFonts w:hint="eastAsia"/>
          <w:sz w:val="28"/>
          <w:szCs w:val="28"/>
          <w:u w:val="single"/>
        </w:rPr>
        <w:t>平台和</w:t>
      </w:r>
      <w:r>
        <w:rPr>
          <w:rFonts w:hint="eastAsia"/>
          <w:sz w:val="28"/>
          <w:szCs w:val="28"/>
          <w:u w:val="single"/>
          <w:lang w:val="en-US"/>
        </w:rPr>
        <w:t>海门区</w:t>
      </w:r>
      <w:r>
        <w:rPr>
          <w:rFonts w:hint="eastAsia"/>
          <w:sz w:val="28"/>
          <w:szCs w:val="28"/>
          <w:u w:val="single"/>
        </w:rPr>
        <w:t>政务信息</w:t>
      </w:r>
      <w:r>
        <w:rPr>
          <w:rFonts w:hint="eastAsia"/>
          <w:sz w:val="28"/>
          <w:szCs w:val="28"/>
          <w:u w:val="single"/>
          <w:lang w:val="en-US"/>
        </w:rPr>
        <w:t>资源</w:t>
      </w:r>
      <w:r>
        <w:rPr>
          <w:rFonts w:hint="eastAsia"/>
          <w:sz w:val="28"/>
          <w:szCs w:val="28"/>
          <w:u w:val="single"/>
        </w:rPr>
        <w:t>共享平台三级等保测评项目</w:t>
      </w:r>
      <w:r>
        <w:rPr>
          <w:rFonts w:hint="eastAsia"/>
          <w:sz w:val="28"/>
          <w:szCs w:val="28"/>
        </w:rPr>
        <w:t>采购活动，服务全部由符合政策要求的中小企业承接。相关企业的具体情况如下：</w:t>
      </w:r>
    </w:p>
    <w:p>
      <w:pPr>
        <w:widowControl/>
        <w:spacing w:line="360" w:lineRule="auto"/>
        <w:ind w:firstLine="560" w:firstLineChars="200"/>
        <w:rPr>
          <w:rFonts w:hAnsi="Times New Roman"/>
          <w:sz w:val="28"/>
          <w:szCs w:val="28"/>
        </w:rPr>
      </w:pPr>
      <w:r>
        <w:rPr>
          <w:rFonts w:hint="eastAsia"/>
          <w:sz w:val="28"/>
          <w:szCs w:val="28"/>
          <w:u w:val="single"/>
        </w:rPr>
        <w:t>南通市海门区区域社会治理现代化指挥中心采购海门</w:t>
      </w:r>
      <w:r>
        <w:rPr>
          <w:rFonts w:hint="eastAsia"/>
          <w:sz w:val="28"/>
          <w:szCs w:val="28"/>
          <w:u w:val="single"/>
          <w:lang w:val="en-US"/>
        </w:rPr>
        <w:t>区</w:t>
      </w:r>
      <w:r>
        <w:rPr>
          <w:rFonts w:hint="eastAsia"/>
          <w:sz w:val="28"/>
          <w:szCs w:val="28"/>
          <w:u w:val="single"/>
        </w:rPr>
        <w:t>可视化</w:t>
      </w:r>
      <w:r>
        <w:rPr>
          <w:rFonts w:hint="eastAsia"/>
          <w:sz w:val="28"/>
          <w:szCs w:val="28"/>
          <w:u w:val="single"/>
          <w:lang w:val="en-US"/>
        </w:rPr>
        <w:t>联动指挥</w:t>
      </w:r>
      <w:r>
        <w:rPr>
          <w:rFonts w:hint="eastAsia"/>
          <w:sz w:val="28"/>
          <w:szCs w:val="28"/>
          <w:u w:val="single"/>
        </w:rPr>
        <w:t>平台和</w:t>
      </w:r>
      <w:r>
        <w:rPr>
          <w:rFonts w:hint="eastAsia"/>
          <w:sz w:val="28"/>
          <w:szCs w:val="28"/>
          <w:u w:val="single"/>
          <w:lang w:val="en-US"/>
        </w:rPr>
        <w:t>海门区</w:t>
      </w:r>
      <w:r>
        <w:rPr>
          <w:rFonts w:hint="eastAsia"/>
          <w:sz w:val="28"/>
          <w:szCs w:val="28"/>
          <w:u w:val="single"/>
        </w:rPr>
        <w:t>政务信息</w:t>
      </w:r>
      <w:r>
        <w:rPr>
          <w:rFonts w:hint="eastAsia"/>
          <w:sz w:val="28"/>
          <w:szCs w:val="28"/>
          <w:u w:val="single"/>
          <w:lang w:val="en-US"/>
        </w:rPr>
        <w:t>资源</w:t>
      </w:r>
      <w:r>
        <w:rPr>
          <w:rFonts w:hint="eastAsia"/>
          <w:sz w:val="28"/>
          <w:szCs w:val="28"/>
          <w:u w:val="single"/>
        </w:rPr>
        <w:t>共享平台三级等保测评项目</w:t>
      </w:r>
      <w:r>
        <w:rPr>
          <w:rFonts w:hint="eastAsia"/>
          <w:sz w:val="28"/>
          <w:szCs w:val="28"/>
        </w:rPr>
        <w:t>，属于</w:t>
      </w:r>
      <w:r>
        <w:rPr>
          <w:rFonts w:hint="eastAsia"/>
          <w:sz w:val="28"/>
          <w:szCs w:val="28"/>
          <w:u w:val="single"/>
        </w:rPr>
        <w:t xml:space="preserve"> </w:t>
      </w:r>
      <w:r>
        <w:rPr>
          <w:sz w:val="28"/>
          <w:szCs w:val="28"/>
          <w:u w:val="single"/>
        </w:rPr>
        <w:t xml:space="preserve">     </w:t>
      </w:r>
      <w:r>
        <w:rPr>
          <w:rFonts w:hint="eastAsia"/>
          <w:sz w:val="28"/>
          <w:szCs w:val="28"/>
          <w:u w:val="single"/>
        </w:rPr>
        <w:t>业</w:t>
      </w:r>
      <w:r>
        <w:rPr>
          <w:rFonts w:hint="eastAsia"/>
          <w:sz w:val="28"/>
          <w:szCs w:val="28"/>
        </w:rPr>
        <w:t>；承接企业为</w:t>
      </w:r>
      <w:r>
        <w:rPr>
          <w:rFonts w:hint="eastAsia"/>
          <w:sz w:val="28"/>
          <w:szCs w:val="28"/>
          <w:u w:val="single"/>
        </w:rPr>
        <w:t>（企业名称）</w:t>
      </w:r>
      <w:r>
        <w:rPr>
          <w:rFonts w:hint="eastAsia"/>
          <w:sz w:val="28"/>
          <w:szCs w:val="28"/>
        </w:rPr>
        <w:t>，营业收入</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元，资产总额</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元，属于</w:t>
      </w:r>
      <w:r>
        <w:rPr>
          <w:rFonts w:hint="eastAsia"/>
          <w:sz w:val="28"/>
          <w:szCs w:val="28"/>
          <w:u w:val="single"/>
        </w:rPr>
        <w:t>（中型企业、小型企业、微型企业）</w:t>
      </w:r>
      <w:r>
        <w:rPr>
          <w:rFonts w:hint="eastAsia"/>
          <w:sz w:val="28"/>
          <w:szCs w:val="28"/>
        </w:rPr>
        <w:t>。</w:t>
      </w:r>
      <w:r>
        <w:rPr>
          <w:sz w:val="28"/>
          <w:szCs w:val="28"/>
        </w:rPr>
        <w:t xml:space="preserve"> </w:t>
      </w:r>
    </w:p>
    <w:p>
      <w:pPr>
        <w:widowControl/>
        <w:spacing w:line="360" w:lineRule="auto"/>
        <w:ind w:firstLine="560" w:firstLineChars="200"/>
        <w:rPr>
          <w:rFonts w:hAnsi="Times New Roman"/>
          <w:sz w:val="28"/>
          <w:szCs w:val="28"/>
        </w:rPr>
      </w:pPr>
      <w:r>
        <w:rPr>
          <w:rFonts w:hint="eastAsia"/>
          <w:sz w:val="28"/>
          <w:szCs w:val="28"/>
        </w:rPr>
        <w:t>以上企业，不属于大企业的分支机构，不存在控股股东为大企业的情形，也不存在与大企业的负责人为同一人的情形。</w:t>
      </w:r>
    </w:p>
    <w:p>
      <w:pPr>
        <w:widowControl/>
        <w:spacing w:line="360" w:lineRule="auto"/>
        <w:ind w:firstLine="560" w:firstLineChars="200"/>
        <w:rPr>
          <w:rFonts w:hAnsi="Times New Roman"/>
          <w:sz w:val="28"/>
          <w:szCs w:val="28"/>
        </w:rPr>
      </w:pPr>
      <w:r>
        <w:rPr>
          <w:rFonts w:hint="eastAsia"/>
          <w:sz w:val="28"/>
          <w:szCs w:val="28"/>
        </w:rPr>
        <w:t>本企业对上述声明内容的真实性负责。如有虚假，将依法承担相应责任。</w:t>
      </w:r>
      <w:r>
        <w:rPr>
          <w:sz w:val="28"/>
          <w:szCs w:val="28"/>
        </w:rPr>
        <w:t xml:space="preserve"> </w:t>
      </w:r>
    </w:p>
    <w:p>
      <w:pPr>
        <w:widowControl/>
        <w:spacing w:line="360" w:lineRule="auto"/>
        <w:ind w:firstLine="560" w:firstLineChars="200"/>
        <w:rPr>
          <w:rFonts w:hAnsi="Times New Roman"/>
          <w:sz w:val="28"/>
          <w:szCs w:val="28"/>
        </w:rPr>
      </w:pPr>
    </w:p>
    <w:p>
      <w:pPr>
        <w:widowControl/>
        <w:spacing w:line="360" w:lineRule="auto"/>
        <w:ind w:firstLine="5040" w:firstLineChars="1800"/>
        <w:rPr>
          <w:rFonts w:hAnsi="Times New Roman"/>
          <w:sz w:val="28"/>
          <w:szCs w:val="28"/>
        </w:rPr>
      </w:pPr>
      <w:r>
        <w:rPr>
          <w:rFonts w:hint="eastAsia"/>
          <w:sz w:val="28"/>
          <w:szCs w:val="28"/>
        </w:rPr>
        <w:t>企业名称（盖章）：</w:t>
      </w:r>
      <w:r>
        <w:rPr>
          <w:sz w:val="28"/>
          <w:szCs w:val="28"/>
        </w:rPr>
        <w:t xml:space="preserve"> </w:t>
      </w:r>
    </w:p>
    <w:p>
      <w:pPr>
        <w:widowControl/>
        <w:spacing w:line="360" w:lineRule="auto"/>
        <w:ind w:firstLine="5040" w:firstLineChars="1800"/>
        <w:rPr>
          <w:rFonts w:hAnsi="Times New Roman"/>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p>
    <w:p>
      <w:pPr>
        <w:widowControl/>
        <w:spacing w:line="360" w:lineRule="auto"/>
        <w:ind w:firstLine="560" w:firstLineChars="200"/>
        <w:rPr>
          <w:rFonts w:hAnsi="Times New Roman"/>
          <w:sz w:val="28"/>
          <w:szCs w:val="28"/>
        </w:rPr>
      </w:pPr>
    </w:p>
    <w:p>
      <w:pPr>
        <w:widowControl/>
        <w:spacing w:line="360" w:lineRule="auto"/>
        <w:ind w:firstLine="560" w:firstLineChars="200"/>
        <w:rPr>
          <w:rFonts w:hAnsi="Times New Roman"/>
          <w:sz w:val="28"/>
          <w:szCs w:val="28"/>
        </w:rPr>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rPr>
          <w:rFonts w:hint="eastAsia"/>
        </w:rPr>
      </w:pPr>
    </w:p>
    <w:p>
      <w:pPr>
        <w:pStyle w:val="14"/>
        <w:ind w:left="1540" w:right="1540"/>
      </w:pPr>
    </w:p>
    <w:p>
      <w:pPr>
        <w:pStyle w:val="14"/>
        <w:ind w:left="0" w:leftChars="0" w:right="1540"/>
      </w:pPr>
    </w:p>
    <w:p>
      <w:pPr>
        <w:widowControl/>
        <w:spacing w:line="360" w:lineRule="auto"/>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注：1、投标人如未提供此表作无效标处理！</w:t>
      </w:r>
    </w:p>
    <w:p>
      <w:pPr>
        <w:widowControl/>
        <w:spacing w:line="360" w:lineRule="auto"/>
        <w:rPr>
          <w:rFonts w:asciiTheme="minorEastAsia" w:hAnsiTheme="minorEastAsia" w:eastAsiaTheme="minorEastAsia"/>
          <w:color w:val="000000" w:themeColor="text1"/>
          <w14:textFill>
            <w14:solidFill>
              <w14:schemeClr w14:val="tx1"/>
            </w14:solidFill>
          </w14:textFill>
        </w:rPr>
      </w:pPr>
      <w:r>
        <w:rPr>
          <w:rFonts w:hint="eastAsia"/>
          <w:color w:val="000000" w:themeColor="text1"/>
          <w:sz w:val="24"/>
          <w:szCs w:val="28"/>
          <w14:textFill>
            <w14:solidFill>
              <w14:schemeClr w14:val="tx1"/>
            </w14:solidFill>
          </w14:textFill>
        </w:rPr>
        <w:t>2、营业收入、资产总额填报上一年度数据，无上一年度数据的新成立企业可不填报。</w:t>
      </w:r>
    </w:p>
    <w:p>
      <w:pPr>
        <w:spacing w:line="360" w:lineRule="auto"/>
        <w:ind w:left="1338" w:leftChars="608" w:firstLine="122" w:firstLineChars="41"/>
        <w:jc w:val="center"/>
        <w:rPr>
          <w:sz w:val="30"/>
          <w:szCs w:val="30"/>
          <w:u w:val="single"/>
        </w:rPr>
      </w:pPr>
    </w:p>
    <w:p>
      <w:pPr>
        <w:spacing w:line="360" w:lineRule="auto"/>
        <w:jc w:val="center"/>
        <w:rPr>
          <w:rFonts w:hint="eastAsia"/>
          <w:sz w:val="30"/>
          <w:szCs w:val="30"/>
          <w:u w:val="single"/>
        </w:rPr>
      </w:pPr>
    </w:p>
    <w:p>
      <w:pPr>
        <w:spacing w:line="360" w:lineRule="auto"/>
        <w:jc w:val="center"/>
        <w:rPr>
          <w:b/>
          <w:bCs/>
          <w:sz w:val="30"/>
          <w:szCs w:val="30"/>
          <w:u w:val="none"/>
        </w:rPr>
      </w:pPr>
      <w:r>
        <w:rPr>
          <w:rFonts w:hint="eastAsia"/>
          <w:b/>
          <w:bCs/>
          <w:sz w:val="30"/>
          <w:szCs w:val="30"/>
          <w:u w:val="none"/>
        </w:rPr>
        <w:t>南通市海门区区域社会治理现代化指挥中心采购海门区全景全域指挥调度平台和海门区政务服务总客服系统三级等保测评项目</w:t>
      </w:r>
    </w:p>
    <w:p>
      <w:pPr>
        <w:spacing w:line="360" w:lineRule="auto"/>
        <w:jc w:val="center"/>
        <w:rPr>
          <w:sz w:val="28"/>
          <w:szCs w:val="28"/>
        </w:rPr>
      </w:pPr>
      <w:r>
        <w:rPr>
          <w:rFonts w:hint="eastAsia"/>
          <w:sz w:val="28"/>
          <w:szCs w:val="28"/>
        </w:rPr>
        <w:t>报价一览表</w:t>
      </w:r>
    </w:p>
    <w:p>
      <w:pPr>
        <w:spacing w:line="360" w:lineRule="auto"/>
        <w:rPr>
          <w:sz w:val="28"/>
          <w:szCs w:val="28"/>
        </w:rPr>
      </w:pPr>
      <w:r>
        <w:rPr>
          <w:rFonts w:hint="eastAsia"/>
          <w:sz w:val="28"/>
          <w:szCs w:val="28"/>
        </w:rPr>
        <w:t>投标单位：（公章）</w:t>
      </w:r>
    </w:p>
    <w:tbl>
      <w:tblPr>
        <w:tblStyle w:val="2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75"/>
        <w:gridCol w:w="1208"/>
        <w:gridCol w:w="1187"/>
        <w:gridCol w:w="1355"/>
        <w:gridCol w:w="10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pPr>
              <w:spacing w:line="276" w:lineRule="auto"/>
              <w:jc w:val="center"/>
              <w:rPr>
                <w:rFonts w:cs="仿宋"/>
                <w:b/>
                <w:sz w:val="24"/>
                <w:szCs w:val="24"/>
              </w:rPr>
            </w:pPr>
            <w:r>
              <w:rPr>
                <w:rFonts w:hint="eastAsia" w:cs="仿宋"/>
                <w:b/>
                <w:sz w:val="24"/>
                <w:szCs w:val="24"/>
              </w:rPr>
              <w:t>序号</w:t>
            </w:r>
          </w:p>
        </w:tc>
        <w:tc>
          <w:tcPr>
            <w:tcW w:w="3175" w:type="dxa"/>
            <w:vAlign w:val="center"/>
          </w:tcPr>
          <w:p>
            <w:pPr>
              <w:spacing w:line="276" w:lineRule="auto"/>
              <w:jc w:val="center"/>
              <w:rPr>
                <w:rFonts w:cs="仿宋"/>
                <w:b/>
                <w:sz w:val="24"/>
                <w:szCs w:val="24"/>
              </w:rPr>
            </w:pPr>
            <w:r>
              <w:rPr>
                <w:rFonts w:hint="eastAsia" w:cs="仿宋"/>
                <w:b/>
                <w:sz w:val="24"/>
                <w:szCs w:val="24"/>
              </w:rPr>
              <w:t>项目名称</w:t>
            </w:r>
          </w:p>
        </w:tc>
        <w:tc>
          <w:tcPr>
            <w:tcW w:w="1208" w:type="dxa"/>
            <w:vAlign w:val="center"/>
          </w:tcPr>
          <w:p>
            <w:pPr>
              <w:spacing w:line="276" w:lineRule="auto"/>
              <w:jc w:val="center"/>
              <w:rPr>
                <w:rFonts w:cs="仿宋"/>
                <w:b/>
                <w:sz w:val="24"/>
                <w:szCs w:val="24"/>
              </w:rPr>
            </w:pPr>
            <w:r>
              <w:rPr>
                <w:rFonts w:hint="eastAsia" w:cs="仿宋"/>
                <w:b/>
                <w:sz w:val="24"/>
                <w:szCs w:val="24"/>
              </w:rPr>
              <w:t>系统数量</w:t>
            </w:r>
          </w:p>
        </w:tc>
        <w:tc>
          <w:tcPr>
            <w:tcW w:w="1187" w:type="dxa"/>
            <w:vAlign w:val="center"/>
          </w:tcPr>
          <w:p>
            <w:pPr>
              <w:spacing w:line="276" w:lineRule="auto"/>
              <w:jc w:val="center"/>
              <w:rPr>
                <w:rFonts w:cs="仿宋"/>
                <w:b/>
                <w:sz w:val="24"/>
                <w:szCs w:val="24"/>
              </w:rPr>
            </w:pPr>
            <w:r>
              <w:rPr>
                <w:rFonts w:hint="eastAsia" w:cs="仿宋"/>
                <w:b/>
                <w:sz w:val="24"/>
                <w:szCs w:val="24"/>
              </w:rPr>
              <w:t>备案情况</w:t>
            </w:r>
          </w:p>
        </w:tc>
        <w:tc>
          <w:tcPr>
            <w:tcW w:w="1355" w:type="dxa"/>
            <w:vAlign w:val="center"/>
          </w:tcPr>
          <w:p>
            <w:pPr>
              <w:spacing w:line="276" w:lineRule="auto"/>
              <w:jc w:val="center"/>
              <w:rPr>
                <w:rFonts w:cs="仿宋"/>
                <w:b/>
                <w:sz w:val="24"/>
                <w:szCs w:val="24"/>
              </w:rPr>
            </w:pPr>
            <w:r>
              <w:rPr>
                <w:rFonts w:hint="eastAsia" w:cs="仿宋"/>
                <w:b/>
                <w:sz w:val="24"/>
                <w:szCs w:val="24"/>
              </w:rPr>
              <w:t>最高限价万元）</w:t>
            </w:r>
          </w:p>
        </w:tc>
        <w:tc>
          <w:tcPr>
            <w:tcW w:w="1088" w:type="dxa"/>
            <w:vAlign w:val="center"/>
          </w:tcPr>
          <w:p>
            <w:pPr>
              <w:spacing w:line="276" w:lineRule="auto"/>
              <w:jc w:val="center"/>
              <w:rPr>
                <w:rFonts w:cs="仿宋"/>
                <w:b/>
                <w:sz w:val="24"/>
                <w:szCs w:val="24"/>
              </w:rPr>
            </w:pPr>
            <w:r>
              <w:rPr>
                <w:rFonts w:hint="eastAsia" w:cs="仿宋"/>
                <w:b/>
                <w:sz w:val="24"/>
                <w:szCs w:val="24"/>
              </w:rPr>
              <w:t>投标报价（万元）</w:t>
            </w:r>
          </w:p>
        </w:tc>
        <w:tc>
          <w:tcPr>
            <w:tcW w:w="744" w:type="dxa"/>
            <w:vAlign w:val="center"/>
          </w:tcPr>
          <w:p>
            <w:pPr>
              <w:spacing w:line="276" w:lineRule="auto"/>
              <w:jc w:val="center"/>
              <w:rPr>
                <w:rFonts w:cs="仿宋"/>
                <w:b/>
                <w:sz w:val="24"/>
                <w:szCs w:val="24"/>
              </w:rPr>
            </w:pPr>
            <w:r>
              <w:rPr>
                <w:rFonts w:hint="eastAsia"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pPr>
              <w:spacing w:line="276" w:lineRule="auto"/>
              <w:jc w:val="center"/>
              <w:rPr>
                <w:rFonts w:cs="仿宋"/>
                <w:sz w:val="24"/>
                <w:szCs w:val="24"/>
              </w:rPr>
            </w:pPr>
            <w:r>
              <w:rPr>
                <w:rFonts w:hint="eastAsia" w:cs="仿宋"/>
                <w:sz w:val="24"/>
                <w:szCs w:val="24"/>
              </w:rPr>
              <w:t>1</w:t>
            </w:r>
          </w:p>
        </w:tc>
        <w:tc>
          <w:tcPr>
            <w:tcW w:w="3175" w:type="dxa"/>
            <w:vAlign w:val="center"/>
          </w:tcPr>
          <w:p>
            <w:pPr>
              <w:spacing w:line="276" w:lineRule="auto"/>
              <w:jc w:val="center"/>
              <w:rPr>
                <w:rFonts w:cs="仿宋"/>
                <w:sz w:val="24"/>
                <w:szCs w:val="24"/>
              </w:rPr>
            </w:pPr>
            <w:r>
              <w:rPr>
                <w:rFonts w:hint="eastAsia" w:cs="仿宋"/>
                <w:sz w:val="24"/>
                <w:szCs w:val="24"/>
              </w:rPr>
              <w:t>南通市海门区区域社会治理现代化指挥中心采购海门区全景全域指挥调度平台和海门区政务服务总客服系统三级等保测评项目</w:t>
            </w:r>
          </w:p>
        </w:tc>
        <w:tc>
          <w:tcPr>
            <w:tcW w:w="1208" w:type="dxa"/>
            <w:vAlign w:val="center"/>
          </w:tcPr>
          <w:p>
            <w:pPr>
              <w:spacing w:line="276" w:lineRule="auto"/>
              <w:jc w:val="center"/>
              <w:rPr>
                <w:rFonts w:cs="仿宋"/>
                <w:sz w:val="24"/>
                <w:szCs w:val="24"/>
              </w:rPr>
            </w:pPr>
            <w:r>
              <w:rPr>
                <w:rFonts w:hint="eastAsia" w:cs="仿宋"/>
                <w:sz w:val="24"/>
                <w:szCs w:val="24"/>
              </w:rPr>
              <w:t>2个</w:t>
            </w:r>
          </w:p>
        </w:tc>
        <w:tc>
          <w:tcPr>
            <w:tcW w:w="1187" w:type="dxa"/>
            <w:vAlign w:val="center"/>
          </w:tcPr>
          <w:p>
            <w:pPr>
              <w:spacing w:line="276" w:lineRule="auto"/>
              <w:jc w:val="center"/>
              <w:rPr>
                <w:rFonts w:cs="仿宋"/>
                <w:sz w:val="24"/>
                <w:szCs w:val="24"/>
              </w:rPr>
            </w:pPr>
            <w:r>
              <w:rPr>
                <w:rFonts w:hint="eastAsia" w:cs="仿宋"/>
                <w:sz w:val="24"/>
                <w:szCs w:val="24"/>
              </w:rPr>
              <w:t>三级</w:t>
            </w:r>
          </w:p>
        </w:tc>
        <w:tc>
          <w:tcPr>
            <w:tcW w:w="1355" w:type="dxa"/>
            <w:vAlign w:val="center"/>
          </w:tcPr>
          <w:p>
            <w:pPr>
              <w:spacing w:line="276" w:lineRule="auto"/>
              <w:jc w:val="center"/>
              <w:rPr>
                <w:rFonts w:cs="仿宋"/>
                <w:sz w:val="24"/>
                <w:szCs w:val="24"/>
              </w:rPr>
            </w:pPr>
            <w:r>
              <w:rPr>
                <w:rFonts w:cs="仿宋"/>
                <w:sz w:val="24"/>
                <w:szCs w:val="24"/>
              </w:rPr>
              <w:t>10</w:t>
            </w:r>
          </w:p>
        </w:tc>
        <w:tc>
          <w:tcPr>
            <w:tcW w:w="1088" w:type="dxa"/>
            <w:vAlign w:val="center"/>
          </w:tcPr>
          <w:p>
            <w:pPr>
              <w:spacing w:line="276" w:lineRule="auto"/>
              <w:jc w:val="center"/>
              <w:rPr>
                <w:rFonts w:cs="仿宋"/>
                <w:sz w:val="24"/>
                <w:szCs w:val="24"/>
              </w:rPr>
            </w:pPr>
          </w:p>
        </w:tc>
        <w:tc>
          <w:tcPr>
            <w:tcW w:w="744" w:type="dxa"/>
            <w:vAlign w:val="center"/>
          </w:tcPr>
          <w:p>
            <w:pPr>
              <w:spacing w:line="276" w:lineRule="auto"/>
              <w:jc w:val="center"/>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466" w:type="dxa"/>
            <w:gridSpan w:val="7"/>
            <w:vAlign w:val="center"/>
          </w:tcPr>
          <w:p>
            <w:pPr>
              <w:spacing w:line="276" w:lineRule="auto"/>
              <w:rPr>
                <w:rFonts w:cs="仿宋"/>
                <w:sz w:val="24"/>
                <w:szCs w:val="24"/>
              </w:rPr>
            </w:pPr>
            <w:r>
              <w:rPr>
                <w:rFonts w:hint="eastAsia" w:cs="仿宋"/>
                <w:b/>
                <w:bCs/>
                <w:sz w:val="28"/>
                <w:szCs w:val="28"/>
              </w:rPr>
              <w:t>以上合计人民币（大写）：</w:t>
            </w:r>
          </w:p>
        </w:tc>
      </w:tr>
    </w:tbl>
    <w:p>
      <w:pPr>
        <w:widowControl/>
        <w:spacing w:before="60" w:after="60" w:line="360" w:lineRule="auto"/>
        <w:ind w:right="60"/>
        <w:rPr>
          <w:sz w:val="24"/>
          <w:szCs w:val="24"/>
        </w:rPr>
      </w:pPr>
      <w:r>
        <w:rPr>
          <w:rFonts w:hint="eastAsia"/>
          <w:sz w:val="24"/>
          <w:szCs w:val="24"/>
        </w:rPr>
        <w:t xml:space="preserve">                        </w:t>
      </w:r>
    </w:p>
    <w:p>
      <w:pPr>
        <w:widowControl/>
        <w:topLinePunct/>
        <w:snapToGrid w:val="0"/>
        <w:spacing w:before="4"/>
        <w:ind w:right="560"/>
        <w:jc w:val="center"/>
        <w:rPr>
          <w:b/>
          <w:bCs/>
          <w:sz w:val="28"/>
          <w:szCs w:val="28"/>
        </w:rPr>
      </w:pPr>
      <w:r>
        <w:rPr>
          <w:rFonts w:hint="eastAsia"/>
          <w:bCs/>
          <w:sz w:val="28"/>
          <w:szCs w:val="28"/>
        </w:rPr>
        <w:t xml:space="preserve">                  法定代表人（授权代表）签名</w:t>
      </w:r>
      <w:r>
        <w:rPr>
          <w:rFonts w:hint="eastAsia"/>
          <w:b/>
          <w:bCs/>
          <w:sz w:val="28"/>
          <w:szCs w:val="28"/>
        </w:rPr>
        <w:t>：</w:t>
      </w:r>
    </w:p>
    <w:p>
      <w:pPr>
        <w:pStyle w:val="22"/>
        <w:ind w:right="560" w:firstLine="4200" w:firstLineChars="2000"/>
      </w:pPr>
    </w:p>
    <w:p>
      <w:pPr>
        <w:pStyle w:val="22"/>
        <w:ind w:right="560" w:firstLine="5600" w:firstLineChars="2000"/>
        <w:rPr>
          <w:bCs/>
          <w:sz w:val="28"/>
          <w:szCs w:val="28"/>
        </w:rPr>
      </w:pPr>
      <w:r>
        <w:rPr>
          <w:rFonts w:hint="eastAsia"/>
          <w:bCs/>
          <w:sz w:val="28"/>
          <w:szCs w:val="28"/>
        </w:rPr>
        <w:t>年    月    日</w:t>
      </w:r>
    </w:p>
    <w:p>
      <w:pPr>
        <w:pStyle w:val="5"/>
        <w:ind w:firstLine="0"/>
      </w:pPr>
    </w:p>
    <w:p>
      <w:pPr>
        <w:spacing w:line="360" w:lineRule="auto"/>
        <w:ind w:firstLine="422" w:firstLineChars="150"/>
        <w:rPr>
          <w:b/>
          <w:sz w:val="28"/>
          <w:szCs w:val="28"/>
        </w:rPr>
      </w:pPr>
      <w:r>
        <w:rPr>
          <w:rFonts w:hint="eastAsia"/>
          <w:b/>
          <w:sz w:val="28"/>
          <w:szCs w:val="28"/>
        </w:rPr>
        <w:t>以下内容为开标时填写：</w:t>
      </w:r>
    </w:p>
    <w:p>
      <w:pPr>
        <w:pStyle w:val="5"/>
      </w:pPr>
    </w:p>
    <w:tbl>
      <w:tblPr>
        <w:tblStyle w:val="23"/>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96"/>
        <w:gridCol w:w="2554"/>
        <w:gridCol w:w="1208"/>
        <w:gridCol w:w="1187"/>
        <w:gridCol w:w="1857"/>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4" w:type="dxa"/>
            <w:vAlign w:val="center"/>
          </w:tcPr>
          <w:p>
            <w:pPr>
              <w:spacing w:line="276" w:lineRule="auto"/>
              <w:jc w:val="center"/>
              <w:rPr>
                <w:rFonts w:cs="仿宋"/>
                <w:b/>
                <w:sz w:val="24"/>
                <w:szCs w:val="24"/>
              </w:rPr>
            </w:pPr>
            <w:r>
              <w:rPr>
                <w:rFonts w:hint="eastAsia" w:cs="仿宋"/>
                <w:b/>
                <w:sz w:val="24"/>
                <w:szCs w:val="24"/>
              </w:rPr>
              <w:t>序号</w:t>
            </w:r>
          </w:p>
        </w:tc>
        <w:tc>
          <w:tcPr>
            <w:tcW w:w="3150" w:type="dxa"/>
            <w:gridSpan w:val="2"/>
            <w:vAlign w:val="center"/>
          </w:tcPr>
          <w:p>
            <w:pPr>
              <w:spacing w:line="276" w:lineRule="auto"/>
              <w:jc w:val="center"/>
              <w:rPr>
                <w:rFonts w:cs="仿宋"/>
                <w:b/>
                <w:sz w:val="24"/>
                <w:szCs w:val="24"/>
              </w:rPr>
            </w:pPr>
            <w:r>
              <w:rPr>
                <w:rFonts w:hint="eastAsia" w:cs="仿宋"/>
                <w:b/>
                <w:sz w:val="24"/>
                <w:szCs w:val="24"/>
              </w:rPr>
              <w:t>项目名称</w:t>
            </w:r>
          </w:p>
        </w:tc>
        <w:tc>
          <w:tcPr>
            <w:tcW w:w="1208" w:type="dxa"/>
            <w:vAlign w:val="center"/>
          </w:tcPr>
          <w:p>
            <w:pPr>
              <w:spacing w:line="276" w:lineRule="auto"/>
              <w:jc w:val="center"/>
              <w:rPr>
                <w:rFonts w:cs="仿宋"/>
                <w:b/>
                <w:sz w:val="24"/>
                <w:szCs w:val="24"/>
              </w:rPr>
            </w:pPr>
            <w:r>
              <w:rPr>
                <w:rFonts w:hint="eastAsia" w:cs="仿宋"/>
                <w:b/>
                <w:sz w:val="24"/>
                <w:szCs w:val="24"/>
              </w:rPr>
              <w:t>系统数量</w:t>
            </w:r>
          </w:p>
        </w:tc>
        <w:tc>
          <w:tcPr>
            <w:tcW w:w="1187" w:type="dxa"/>
            <w:vAlign w:val="center"/>
          </w:tcPr>
          <w:p>
            <w:pPr>
              <w:spacing w:line="276" w:lineRule="auto"/>
              <w:jc w:val="center"/>
              <w:rPr>
                <w:rFonts w:cs="仿宋"/>
                <w:b/>
                <w:sz w:val="24"/>
                <w:szCs w:val="24"/>
              </w:rPr>
            </w:pPr>
            <w:r>
              <w:rPr>
                <w:rFonts w:hint="eastAsia" w:cs="仿宋"/>
                <w:b/>
                <w:sz w:val="24"/>
                <w:szCs w:val="24"/>
              </w:rPr>
              <w:t>备案情况</w:t>
            </w:r>
          </w:p>
        </w:tc>
        <w:tc>
          <w:tcPr>
            <w:tcW w:w="1857" w:type="dxa"/>
            <w:vAlign w:val="center"/>
          </w:tcPr>
          <w:p>
            <w:pPr>
              <w:spacing w:line="276" w:lineRule="auto"/>
              <w:jc w:val="center"/>
              <w:rPr>
                <w:rFonts w:cs="仿宋"/>
                <w:b/>
                <w:sz w:val="24"/>
                <w:szCs w:val="24"/>
              </w:rPr>
            </w:pPr>
            <w:r>
              <w:rPr>
                <w:rFonts w:hint="eastAsia" w:cs="仿宋"/>
                <w:b/>
                <w:sz w:val="24"/>
                <w:szCs w:val="24"/>
              </w:rPr>
              <w:t>最高限价（万元）</w:t>
            </w:r>
          </w:p>
        </w:tc>
        <w:tc>
          <w:tcPr>
            <w:tcW w:w="1330" w:type="dxa"/>
          </w:tcPr>
          <w:p>
            <w:pPr>
              <w:spacing w:line="276" w:lineRule="auto"/>
              <w:jc w:val="center"/>
              <w:rPr>
                <w:rFonts w:cs="仿宋"/>
                <w:b/>
                <w:sz w:val="24"/>
                <w:szCs w:val="24"/>
              </w:rPr>
            </w:pPr>
            <w:r>
              <w:rPr>
                <w:rFonts w:hint="eastAsia" w:cs="仿宋"/>
                <w:b/>
                <w:sz w:val="24"/>
                <w:szCs w:val="24"/>
              </w:rPr>
              <w:t>现场最终报价（万元）</w:t>
            </w:r>
          </w:p>
        </w:tc>
        <w:tc>
          <w:tcPr>
            <w:tcW w:w="1330" w:type="dxa"/>
            <w:vAlign w:val="center"/>
          </w:tcPr>
          <w:p>
            <w:pPr>
              <w:spacing w:line="276" w:lineRule="auto"/>
              <w:jc w:val="center"/>
              <w:rPr>
                <w:rFonts w:cs="仿宋"/>
                <w:b/>
                <w:sz w:val="24"/>
                <w:szCs w:val="24"/>
              </w:rPr>
            </w:pPr>
            <w:r>
              <w:rPr>
                <w:rFonts w:hint="eastAsia"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4" w:type="dxa"/>
            <w:vAlign w:val="center"/>
          </w:tcPr>
          <w:p>
            <w:pPr>
              <w:spacing w:line="276" w:lineRule="auto"/>
              <w:jc w:val="center"/>
              <w:rPr>
                <w:rFonts w:cs="仿宋"/>
                <w:sz w:val="24"/>
                <w:szCs w:val="24"/>
              </w:rPr>
            </w:pPr>
            <w:r>
              <w:rPr>
                <w:rFonts w:hint="eastAsia" w:cs="仿宋"/>
                <w:sz w:val="24"/>
                <w:szCs w:val="24"/>
              </w:rPr>
              <w:t>1</w:t>
            </w:r>
          </w:p>
        </w:tc>
        <w:tc>
          <w:tcPr>
            <w:tcW w:w="3150" w:type="dxa"/>
            <w:gridSpan w:val="2"/>
            <w:vAlign w:val="center"/>
          </w:tcPr>
          <w:p>
            <w:pPr>
              <w:spacing w:before="31" w:line="360" w:lineRule="auto"/>
              <w:rPr>
                <w:rFonts w:cs="仿宋"/>
                <w:sz w:val="24"/>
                <w:szCs w:val="24"/>
              </w:rPr>
            </w:pPr>
            <w:r>
              <w:rPr>
                <w:rFonts w:hint="eastAsia" w:cs="仿宋"/>
                <w:sz w:val="24"/>
                <w:szCs w:val="24"/>
              </w:rPr>
              <w:t>南通市海门区区域社会治理现代化指挥中心采购海门区全景全域指挥调度平台和海门区政务服务总客服系统三级等保测评项目</w:t>
            </w:r>
          </w:p>
        </w:tc>
        <w:tc>
          <w:tcPr>
            <w:tcW w:w="1208" w:type="dxa"/>
            <w:vAlign w:val="center"/>
          </w:tcPr>
          <w:p>
            <w:pPr>
              <w:spacing w:line="276" w:lineRule="auto"/>
              <w:jc w:val="center"/>
              <w:rPr>
                <w:rFonts w:cs="仿宋"/>
                <w:sz w:val="24"/>
                <w:szCs w:val="24"/>
              </w:rPr>
            </w:pPr>
            <w:r>
              <w:rPr>
                <w:rFonts w:hint="eastAsia" w:cs="仿宋"/>
                <w:sz w:val="24"/>
                <w:szCs w:val="24"/>
              </w:rPr>
              <w:t>2个</w:t>
            </w:r>
          </w:p>
        </w:tc>
        <w:tc>
          <w:tcPr>
            <w:tcW w:w="1187" w:type="dxa"/>
            <w:vAlign w:val="center"/>
          </w:tcPr>
          <w:p>
            <w:pPr>
              <w:spacing w:line="276" w:lineRule="auto"/>
              <w:jc w:val="center"/>
              <w:rPr>
                <w:rFonts w:cs="仿宋"/>
                <w:sz w:val="24"/>
                <w:szCs w:val="24"/>
              </w:rPr>
            </w:pPr>
            <w:r>
              <w:rPr>
                <w:rFonts w:hint="eastAsia" w:cs="仿宋"/>
                <w:sz w:val="24"/>
                <w:szCs w:val="24"/>
              </w:rPr>
              <w:t>三级</w:t>
            </w:r>
          </w:p>
        </w:tc>
        <w:tc>
          <w:tcPr>
            <w:tcW w:w="1857" w:type="dxa"/>
            <w:vAlign w:val="center"/>
          </w:tcPr>
          <w:p>
            <w:pPr>
              <w:spacing w:line="276" w:lineRule="auto"/>
              <w:jc w:val="center"/>
              <w:rPr>
                <w:rFonts w:cs="仿宋"/>
                <w:sz w:val="24"/>
                <w:szCs w:val="24"/>
              </w:rPr>
            </w:pPr>
            <w:r>
              <w:rPr>
                <w:rFonts w:hint="eastAsia" w:cs="仿宋"/>
                <w:sz w:val="24"/>
                <w:szCs w:val="24"/>
              </w:rPr>
              <w:t>1</w:t>
            </w:r>
            <w:r>
              <w:rPr>
                <w:rFonts w:cs="仿宋"/>
                <w:sz w:val="24"/>
                <w:szCs w:val="24"/>
              </w:rPr>
              <w:t>0</w:t>
            </w:r>
          </w:p>
        </w:tc>
        <w:tc>
          <w:tcPr>
            <w:tcW w:w="1330" w:type="dxa"/>
          </w:tcPr>
          <w:p>
            <w:pPr>
              <w:spacing w:line="276" w:lineRule="auto"/>
              <w:jc w:val="center"/>
              <w:rPr>
                <w:rFonts w:cs="仿宋"/>
                <w:sz w:val="24"/>
                <w:szCs w:val="24"/>
              </w:rPr>
            </w:pPr>
          </w:p>
        </w:tc>
        <w:tc>
          <w:tcPr>
            <w:tcW w:w="1330" w:type="dxa"/>
            <w:vAlign w:val="center"/>
          </w:tcPr>
          <w:p>
            <w:pPr>
              <w:spacing w:line="276" w:lineRule="auto"/>
              <w:jc w:val="center"/>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30" w:type="dxa"/>
            <w:gridSpan w:val="2"/>
          </w:tcPr>
          <w:p>
            <w:pPr>
              <w:spacing w:line="276" w:lineRule="auto"/>
              <w:rPr>
                <w:rFonts w:cs="仿宋"/>
                <w:b/>
                <w:sz w:val="24"/>
                <w:szCs w:val="24"/>
              </w:rPr>
            </w:pPr>
          </w:p>
        </w:tc>
        <w:tc>
          <w:tcPr>
            <w:tcW w:w="9466" w:type="dxa"/>
            <w:gridSpan w:val="6"/>
            <w:vAlign w:val="center"/>
          </w:tcPr>
          <w:p>
            <w:pPr>
              <w:spacing w:line="276" w:lineRule="auto"/>
              <w:rPr>
                <w:rFonts w:cs="仿宋"/>
                <w:b/>
                <w:sz w:val="24"/>
                <w:szCs w:val="24"/>
              </w:rPr>
            </w:pPr>
            <w:r>
              <w:rPr>
                <w:rFonts w:hint="eastAsia" w:cs="仿宋"/>
                <w:b/>
                <w:sz w:val="24"/>
                <w:szCs w:val="24"/>
              </w:rPr>
              <w:t>大写：</w:t>
            </w:r>
          </w:p>
          <w:p>
            <w:pPr>
              <w:pStyle w:val="5"/>
            </w:pPr>
          </w:p>
          <w:p>
            <w:pPr>
              <w:spacing w:line="276" w:lineRule="auto"/>
            </w:pPr>
            <w:r>
              <w:rPr>
                <w:rFonts w:hint="eastAsia" w:cs="仿宋"/>
                <w:b/>
                <w:sz w:val="24"/>
                <w:szCs w:val="24"/>
              </w:rPr>
              <w:t>小写：</w:t>
            </w:r>
          </w:p>
        </w:tc>
      </w:tr>
    </w:tbl>
    <w:p>
      <w:pPr>
        <w:widowControl/>
        <w:topLinePunct/>
        <w:snapToGrid w:val="0"/>
        <w:spacing w:before="4"/>
        <w:ind w:right="560"/>
        <w:rPr>
          <w:bCs/>
          <w:sz w:val="28"/>
          <w:szCs w:val="28"/>
        </w:rPr>
      </w:pPr>
    </w:p>
    <w:p>
      <w:pPr>
        <w:widowControl/>
        <w:topLinePunct/>
        <w:snapToGrid w:val="0"/>
        <w:spacing w:before="4"/>
        <w:ind w:right="560"/>
        <w:jc w:val="center"/>
        <w:rPr>
          <w:b/>
          <w:bCs/>
          <w:sz w:val="28"/>
          <w:szCs w:val="28"/>
        </w:rPr>
      </w:pPr>
      <w:r>
        <w:rPr>
          <w:rFonts w:hint="eastAsia"/>
          <w:bCs/>
          <w:sz w:val="28"/>
          <w:szCs w:val="28"/>
        </w:rPr>
        <w:t xml:space="preserve">                     签字</w:t>
      </w:r>
      <w:r>
        <w:rPr>
          <w:rFonts w:hint="eastAsia"/>
          <w:b/>
          <w:bCs/>
          <w:sz w:val="28"/>
          <w:szCs w:val="28"/>
        </w:rPr>
        <w:t>：</w:t>
      </w:r>
    </w:p>
    <w:p>
      <w:pPr>
        <w:widowControl/>
        <w:topLinePunct/>
        <w:snapToGrid w:val="0"/>
        <w:spacing w:before="4"/>
        <w:ind w:right="560"/>
        <w:jc w:val="center"/>
        <w:rPr>
          <w:rFonts w:asciiTheme="minorEastAsia" w:hAnsiTheme="minorEastAsia" w:eastAsiaTheme="minorEastAsia"/>
          <w:lang w:val="en-US"/>
        </w:rPr>
      </w:pPr>
      <w:r>
        <w:t xml:space="preserve">                                  </w:t>
      </w:r>
      <w:r>
        <w:rPr>
          <w:bCs/>
          <w:sz w:val="28"/>
          <w:szCs w:val="28"/>
        </w:rPr>
        <w:t xml:space="preserve"> </w:t>
      </w:r>
      <w:r>
        <w:rPr>
          <w:rFonts w:hint="eastAsia"/>
          <w:bCs/>
          <w:sz w:val="28"/>
          <w:szCs w:val="28"/>
        </w:rPr>
        <w:t xml:space="preserve">          日期：    年    月    日</w:t>
      </w:r>
    </w:p>
    <w:sectPr>
      <w:footerReference r:id="rId5" w:type="default"/>
      <w:pgSz w:w="11910" w:h="16840"/>
      <w:pgMar w:top="1480" w:right="860" w:bottom="1120" w:left="660" w:header="0" w:footer="93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4590" cy="174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4590" cy="174625"/>
                      </a:xfrm>
                      <a:prstGeom prst="rect">
                        <a:avLst/>
                      </a:prstGeom>
                      <a:noFill/>
                      <a:ln>
                        <a:noFill/>
                      </a:ln>
                    </wps:spPr>
                    <wps:txbx>
                      <w:txbxContent>
                        <w:p>
                          <w:pPr>
                            <w:pStyle w:val="2"/>
                            <w:spacing w:line="261" w:lineRule="exact"/>
                            <w:ind w:left="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lIns="0" tIns="0" rIns="0" bIns="0" upright="1"/>
                  </wps:wsp>
                </a:graphicData>
              </a:graphic>
            </wp:anchor>
          </w:drawing>
        </mc:Choice>
        <mc:Fallback>
          <w:pict>
            <v:shape id="文本框 1" o:spid="_x0000_s1026" o:spt="202" type="#_x0000_t202" style="position:absolute;left:0pt;margin-top:0pt;height:13.75pt;width:91.7pt;mso-position-horizontal:center;mso-position-horizontal-relative:margin;z-index:251659264;mso-width-relative:page;mso-height-relative:page;" filled="f" stroked="f" coordsize="21600,21600" o:gfxdata="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GLP6DVAAAABAEAAA8AAAAAAAAAAQAgAAAAIgAAAGRycy9kb3ducmV2LnhtbFBLAQIUABQA&#10;AAAIAIdO4kBxFOoCugEAAHIDAAAOAAAAAAAAAAEAIAAAACQBAABkcnMvZTJvRG9jLnhtbFBLBQYA&#10;AAAABgAGAFkBAABQBQAAAAA=&#10;">
              <v:fill on="f" focussize="0,0"/>
              <v:stroke on="f"/>
              <v:imagedata o:title=""/>
              <o:lock v:ext="edit" aspectratio="f"/>
              <v:textbox inset="0mm,0mm,0mm,0mm">
                <w:txbxContent>
                  <w:p>
                    <w:pPr>
                      <w:pStyle w:val="2"/>
                      <w:spacing w:line="261" w:lineRule="exact"/>
                      <w:ind w:left="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8304"/>
      <w:rPr>
        <w:rFonts w:ascii="黑体" w:hAnsi="黑体" w:eastAsia="黑体" w:cs="黑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38279"/>
    <w:multiLevelType w:val="singleLevel"/>
    <w:tmpl w:val="04838279"/>
    <w:lvl w:ilvl="0" w:tentative="0">
      <w:start w:val="3"/>
      <w:numFmt w:val="chineseCounting"/>
      <w:lvlText w:val="第%1部分"/>
      <w:lvlJc w:val="left"/>
      <w:rPr>
        <w:rFonts w:hint="eastAsia"/>
      </w:rPr>
    </w:lvl>
  </w:abstractNum>
  <w:abstractNum w:abstractNumId="1">
    <w:nsid w:val="2A8F537B"/>
    <w:multiLevelType w:val="multilevel"/>
    <w:tmpl w:val="2A8F537B"/>
    <w:lvl w:ilvl="0" w:tentative="0">
      <w:start w:val="1"/>
      <w:numFmt w:val="decimal"/>
      <w:lvlText w:val="%1）"/>
      <w:lvlJc w:val="left"/>
      <w:pPr>
        <w:ind w:left="1211" w:hanging="318"/>
      </w:pPr>
      <w:rPr>
        <w:rFonts w:hint="default" w:ascii="宋体" w:hAnsi="宋体" w:eastAsia="宋体" w:cs="宋体"/>
        <w:w w:val="100"/>
        <w:sz w:val="19"/>
        <w:szCs w:val="19"/>
        <w:lang w:val="zh-CN" w:eastAsia="zh-CN" w:bidi="zh-CN"/>
      </w:rPr>
    </w:lvl>
    <w:lvl w:ilvl="1" w:tentative="0">
      <w:start w:val="0"/>
      <w:numFmt w:val="bullet"/>
      <w:lvlText w:val="•"/>
      <w:lvlJc w:val="left"/>
      <w:pPr>
        <w:ind w:left="2136" w:hanging="318"/>
      </w:pPr>
      <w:rPr>
        <w:rFonts w:hint="default"/>
        <w:lang w:val="zh-CN" w:eastAsia="zh-CN" w:bidi="zh-CN"/>
      </w:rPr>
    </w:lvl>
    <w:lvl w:ilvl="2" w:tentative="0">
      <w:start w:val="0"/>
      <w:numFmt w:val="bullet"/>
      <w:lvlText w:val="•"/>
      <w:lvlJc w:val="left"/>
      <w:pPr>
        <w:ind w:left="3053" w:hanging="318"/>
      </w:pPr>
      <w:rPr>
        <w:rFonts w:hint="default"/>
        <w:lang w:val="zh-CN" w:eastAsia="zh-CN" w:bidi="zh-CN"/>
      </w:rPr>
    </w:lvl>
    <w:lvl w:ilvl="3" w:tentative="0">
      <w:start w:val="0"/>
      <w:numFmt w:val="bullet"/>
      <w:lvlText w:val="•"/>
      <w:lvlJc w:val="left"/>
      <w:pPr>
        <w:ind w:left="3969" w:hanging="318"/>
      </w:pPr>
      <w:rPr>
        <w:rFonts w:hint="default"/>
        <w:lang w:val="zh-CN" w:eastAsia="zh-CN" w:bidi="zh-CN"/>
      </w:rPr>
    </w:lvl>
    <w:lvl w:ilvl="4" w:tentative="0">
      <w:start w:val="0"/>
      <w:numFmt w:val="bullet"/>
      <w:lvlText w:val="•"/>
      <w:lvlJc w:val="left"/>
      <w:pPr>
        <w:ind w:left="4886" w:hanging="318"/>
      </w:pPr>
      <w:rPr>
        <w:rFonts w:hint="default"/>
        <w:lang w:val="zh-CN" w:eastAsia="zh-CN" w:bidi="zh-CN"/>
      </w:rPr>
    </w:lvl>
    <w:lvl w:ilvl="5" w:tentative="0">
      <w:start w:val="0"/>
      <w:numFmt w:val="bullet"/>
      <w:lvlText w:val="•"/>
      <w:lvlJc w:val="left"/>
      <w:pPr>
        <w:ind w:left="5803" w:hanging="318"/>
      </w:pPr>
      <w:rPr>
        <w:rFonts w:hint="default"/>
        <w:lang w:val="zh-CN" w:eastAsia="zh-CN" w:bidi="zh-CN"/>
      </w:rPr>
    </w:lvl>
    <w:lvl w:ilvl="6" w:tentative="0">
      <w:start w:val="0"/>
      <w:numFmt w:val="bullet"/>
      <w:lvlText w:val="•"/>
      <w:lvlJc w:val="left"/>
      <w:pPr>
        <w:ind w:left="6719" w:hanging="318"/>
      </w:pPr>
      <w:rPr>
        <w:rFonts w:hint="default"/>
        <w:lang w:val="zh-CN" w:eastAsia="zh-CN" w:bidi="zh-CN"/>
      </w:rPr>
    </w:lvl>
    <w:lvl w:ilvl="7" w:tentative="0">
      <w:start w:val="0"/>
      <w:numFmt w:val="bullet"/>
      <w:lvlText w:val="•"/>
      <w:lvlJc w:val="left"/>
      <w:pPr>
        <w:ind w:left="7636" w:hanging="318"/>
      </w:pPr>
      <w:rPr>
        <w:rFonts w:hint="default"/>
        <w:lang w:val="zh-CN" w:eastAsia="zh-CN" w:bidi="zh-CN"/>
      </w:rPr>
    </w:lvl>
    <w:lvl w:ilvl="8" w:tentative="0">
      <w:start w:val="0"/>
      <w:numFmt w:val="bullet"/>
      <w:lvlText w:val="•"/>
      <w:lvlJc w:val="left"/>
      <w:pPr>
        <w:ind w:left="8553" w:hanging="318"/>
      </w:pPr>
      <w:rPr>
        <w:rFonts w:hint="default"/>
        <w:lang w:val="zh-CN" w:eastAsia="zh-CN" w:bidi="zh-CN"/>
      </w:rPr>
    </w:lvl>
  </w:abstractNum>
  <w:abstractNum w:abstractNumId="2">
    <w:nsid w:val="5A241D34"/>
    <w:multiLevelType w:val="multilevel"/>
    <w:tmpl w:val="5A241D34"/>
    <w:lvl w:ilvl="0" w:tentative="0">
      <w:start w:val="1"/>
      <w:numFmt w:val="decimal"/>
      <w:lvlText w:val="（%1）"/>
      <w:lvlJc w:val="left"/>
      <w:pPr>
        <w:ind w:left="1002"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38" w:hanging="530"/>
      </w:pPr>
      <w:rPr>
        <w:rFonts w:hint="default"/>
        <w:lang w:val="zh-CN" w:eastAsia="zh-CN" w:bidi="zh-CN"/>
      </w:rPr>
    </w:lvl>
    <w:lvl w:ilvl="2" w:tentative="0">
      <w:start w:val="0"/>
      <w:numFmt w:val="bullet"/>
      <w:lvlText w:val="•"/>
      <w:lvlJc w:val="left"/>
      <w:pPr>
        <w:ind w:left="2877" w:hanging="530"/>
      </w:pPr>
      <w:rPr>
        <w:rFonts w:hint="default"/>
        <w:lang w:val="zh-CN" w:eastAsia="zh-CN" w:bidi="zh-CN"/>
      </w:rPr>
    </w:lvl>
    <w:lvl w:ilvl="3" w:tentative="0">
      <w:start w:val="0"/>
      <w:numFmt w:val="bullet"/>
      <w:lvlText w:val="•"/>
      <w:lvlJc w:val="left"/>
      <w:pPr>
        <w:ind w:left="3815" w:hanging="530"/>
      </w:pPr>
      <w:rPr>
        <w:rFonts w:hint="default"/>
        <w:lang w:val="zh-CN" w:eastAsia="zh-CN" w:bidi="zh-CN"/>
      </w:rPr>
    </w:lvl>
    <w:lvl w:ilvl="4" w:tentative="0">
      <w:start w:val="0"/>
      <w:numFmt w:val="bullet"/>
      <w:lvlText w:val="•"/>
      <w:lvlJc w:val="left"/>
      <w:pPr>
        <w:ind w:left="4754" w:hanging="530"/>
      </w:pPr>
      <w:rPr>
        <w:rFonts w:hint="default"/>
        <w:lang w:val="zh-CN" w:eastAsia="zh-CN" w:bidi="zh-CN"/>
      </w:rPr>
    </w:lvl>
    <w:lvl w:ilvl="5" w:tentative="0">
      <w:start w:val="0"/>
      <w:numFmt w:val="bullet"/>
      <w:lvlText w:val="•"/>
      <w:lvlJc w:val="left"/>
      <w:pPr>
        <w:ind w:left="5693" w:hanging="530"/>
      </w:pPr>
      <w:rPr>
        <w:rFonts w:hint="default"/>
        <w:lang w:val="zh-CN" w:eastAsia="zh-CN" w:bidi="zh-CN"/>
      </w:rPr>
    </w:lvl>
    <w:lvl w:ilvl="6" w:tentative="0">
      <w:start w:val="0"/>
      <w:numFmt w:val="bullet"/>
      <w:lvlText w:val="•"/>
      <w:lvlJc w:val="left"/>
      <w:pPr>
        <w:ind w:left="6631" w:hanging="530"/>
      </w:pPr>
      <w:rPr>
        <w:rFonts w:hint="default"/>
        <w:lang w:val="zh-CN" w:eastAsia="zh-CN" w:bidi="zh-CN"/>
      </w:rPr>
    </w:lvl>
    <w:lvl w:ilvl="7" w:tentative="0">
      <w:start w:val="0"/>
      <w:numFmt w:val="bullet"/>
      <w:lvlText w:val="•"/>
      <w:lvlJc w:val="left"/>
      <w:pPr>
        <w:ind w:left="7570" w:hanging="530"/>
      </w:pPr>
      <w:rPr>
        <w:rFonts w:hint="default"/>
        <w:lang w:val="zh-CN" w:eastAsia="zh-CN" w:bidi="zh-CN"/>
      </w:rPr>
    </w:lvl>
    <w:lvl w:ilvl="8" w:tentative="0">
      <w:start w:val="0"/>
      <w:numFmt w:val="bullet"/>
      <w:lvlText w:val="•"/>
      <w:lvlJc w:val="left"/>
      <w:pPr>
        <w:ind w:left="8509" w:hanging="530"/>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Y2IwNzBiZjgyM2IwODU4ZTdmYWRlYTI5NmFjMGEifQ=="/>
  </w:docVars>
  <w:rsids>
    <w:rsidRoot w:val="00172A27"/>
    <w:rsid w:val="00001240"/>
    <w:rsid w:val="000055F4"/>
    <w:rsid w:val="00007B2F"/>
    <w:rsid w:val="00017073"/>
    <w:rsid w:val="00021140"/>
    <w:rsid w:val="000234C1"/>
    <w:rsid w:val="00027EB9"/>
    <w:rsid w:val="00053321"/>
    <w:rsid w:val="00055BB9"/>
    <w:rsid w:val="00074E7D"/>
    <w:rsid w:val="00075B4F"/>
    <w:rsid w:val="000860B3"/>
    <w:rsid w:val="000933E8"/>
    <w:rsid w:val="00094503"/>
    <w:rsid w:val="000A6B49"/>
    <w:rsid w:val="000D214B"/>
    <w:rsid w:val="000F408B"/>
    <w:rsid w:val="00100188"/>
    <w:rsid w:val="001036AB"/>
    <w:rsid w:val="001163C5"/>
    <w:rsid w:val="0012731A"/>
    <w:rsid w:val="00137B60"/>
    <w:rsid w:val="00147C7B"/>
    <w:rsid w:val="00166A46"/>
    <w:rsid w:val="00172A27"/>
    <w:rsid w:val="001958A5"/>
    <w:rsid w:val="00197145"/>
    <w:rsid w:val="001A4009"/>
    <w:rsid w:val="001A535D"/>
    <w:rsid w:val="001B07BD"/>
    <w:rsid w:val="001B6B70"/>
    <w:rsid w:val="001C2CAD"/>
    <w:rsid w:val="001C3A77"/>
    <w:rsid w:val="001E0539"/>
    <w:rsid w:val="001F0042"/>
    <w:rsid w:val="0021277A"/>
    <w:rsid w:val="002173A0"/>
    <w:rsid w:val="002256F1"/>
    <w:rsid w:val="00226731"/>
    <w:rsid w:val="002274AD"/>
    <w:rsid w:val="00232751"/>
    <w:rsid w:val="0024434D"/>
    <w:rsid w:val="00246978"/>
    <w:rsid w:val="00256FF9"/>
    <w:rsid w:val="002600DD"/>
    <w:rsid w:val="00270245"/>
    <w:rsid w:val="00277178"/>
    <w:rsid w:val="00280305"/>
    <w:rsid w:val="002A22A8"/>
    <w:rsid w:val="002A57A6"/>
    <w:rsid w:val="002A6354"/>
    <w:rsid w:val="002D653F"/>
    <w:rsid w:val="002D689A"/>
    <w:rsid w:val="002D7448"/>
    <w:rsid w:val="002F20D4"/>
    <w:rsid w:val="0030000B"/>
    <w:rsid w:val="003041F0"/>
    <w:rsid w:val="003067EF"/>
    <w:rsid w:val="00313345"/>
    <w:rsid w:val="00316BB8"/>
    <w:rsid w:val="00332DBF"/>
    <w:rsid w:val="00354A38"/>
    <w:rsid w:val="003654C5"/>
    <w:rsid w:val="00374B54"/>
    <w:rsid w:val="00381116"/>
    <w:rsid w:val="003827DA"/>
    <w:rsid w:val="00383C0E"/>
    <w:rsid w:val="00383E32"/>
    <w:rsid w:val="00386E9B"/>
    <w:rsid w:val="003906D5"/>
    <w:rsid w:val="003C267A"/>
    <w:rsid w:val="003F677E"/>
    <w:rsid w:val="003F74A4"/>
    <w:rsid w:val="00404A4D"/>
    <w:rsid w:val="00406BBC"/>
    <w:rsid w:val="00435C84"/>
    <w:rsid w:val="00440242"/>
    <w:rsid w:val="00453EFD"/>
    <w:rsid w:val="004602FC"/>
    <w:rsid w:val="0046609A"/>
    <w:rsid w:val="004663E7"/>
    <w:rsid w:val="004B108B"/>
    <w:rsid w:val="004B5F90"/>
    <w:rsid w:val="004C1A03"/>
    <w:rsid w:val="004C7143"/>
    <w:rsid w:val="004E352D"/>
    <w:rsid w:val="004E6679"/>
    <w:rsid w:val="004E7C83"/>
    <w:rsid w:val="0050638A"/>
    <w:rsid w:val="00512335"/>
    <w:rsid w:val="005132D5"/>
    <w:rsid w:val="00517EE0"/>
    <w:rsid w:val="00526D7B"/>
    <w:rsid w:val="00537A34"/>
    <w:rsid w:val="005472D0"/>
    <w:rsid w:val="00556715"/>
    <w:rsid w:val="00556A08"/>
    <w:rsid w:val="005802E8"/>
    <w:rsid w:val="00584929"/>
    <w:rsid w:val="0058553F"/>
    <w:rsid w:val="00586F22"/>
    <w:rsid w:val="00592397"/>
    <w:rsid w:val="005A0086"/>
    <w:rsid w:val="005D3B7A"/>
    <w:rsid w:val="005D6707"/>
    <w:rsid w:val="005E77F7"/>
    <w:rsid w:val="00601D45"/>
    <w:rsid w:val="00613707"/>
    <w:rsid w:val="006177EA"/>
    <w:rsid w:val="00625321"/>
    <w:rsid w:val="00640807"/>
    <w:rsid w:val="0064168B"/>
    <w:rsid w:val="00642645"/>
    <w:rsid w:val="006448E1"/>
    <w:rsid w:val="00645FFB"/>
    <w:rsid w:val="00646E3B"/>
    <w:rsid w:val="006762C2"/>
    <w:rsid w:val="006915D9"/>
    <w:rsid w:val="006A1B8C"/>
    <w:rsid w:val="006A5BAA"/>
    <w:rsid w:val="006A5D9B"/>
    <w:rsid w:val="006C5CE6"/>
    <w:rsid w:val="006E4DEB"/>
    <w:rsid w:val="006E569B"/>
    <w:rsid w:val="006F246B"/>
    <w:rsid w:val="00702BE8"/>
    <w:rsid w:val="007267AA"/>
    <w:rsid w:val="00737D4F"/>
    <w:rsid w:val="007440F3"/>
    <w:rsid w:val="007468A9"/>
    <w:rsid w:val="00750BDA"/>
    <w:rsid w:val="00755702"/>
    <w:rsid w:val="00763AD3"/>
    <w:rsid w:val="00763EDC"/>
    <w:rsid w:val="00773B4B"/>
    <w:rsid w:val="00780782"/>
    <w:rsid w:val="007832ED"/>
    <w:rsid w:val="00795574"/>
    <w:rsid w:val="007B1197"/>
    <w:rsid w:val="007B7D81"/>
    <w:rsid w:val="007C4F9D"/>
    <w:rsid w:val="007E2F36"/>
    <w:rsid w:val="007F78F7"/>
    <w:rsid w:val="00815703"/>
    <w:rsid w:val="008353DA"/>
    <w:rsid w:val="00840E68"/>
    <w:rsid w:val="00841253"/>
    <w:rsid w:val="00860630"/>
    <w:rsid w:val="008642AA"/>
    <w:rsid w:val="0087256B"/>
    <w:rsid w:val="00877420"/>
    <w:rsid w:val="00881623"/>
    <w:rsid w:val="00884718"/>
    <w:rsid w:val="00894455"/>
    <w:rsid w:val="008A4B1A"/>
    <w:rsid w:val="008A751D"/>
    <w:rsid w:val="008C1C44"/>
    <w:rsid w:val="008E5BD9"/>
    <w:rsid w:val="008F0D21"/>
    <w:rsid w:val="008F3AA9"/>
    <w:rsid w:val="009060B8"/>
    <w:rsid w:val="00935690"/>
    <w:rsid w:val="00947F30"/>
    <w:rsid w:val="0095513B"/>
    <w:rsid w:val="0096751C"/>
    <w:rsid w:val="009931A3"/>
    <w:rsid w:val="00997A1C"/>
    <w:rsid w:val="009A215C"/>
    <w:rsid w:val="009A4884"/>
    <w:rsid w:val="009D2395"/>
    <w:rsid w:val="009E5494"/>
    <w:rsid w:val="00A1595A"/>
    <w:rsid w:val="00A20391"/>
    <w:rsid w:val="00A34B20"/>
    <w:rsid w:val="00A4096F"/>
    <w:rsid w:val="00A63A64"/>
    <w:rsid w:val="00A64DEB"/>
    <w:rsid w:val="00AA1AFF"/>
    <w:rsid w:val="00AA3C7A"/>
    <w:rsid w:val="00AC61C7"/>
    <w:rsid w:val="00AD1ECF"/>
    <w:rsid w:val="00AD56C9"/>
    <w:rsid w:val="00AE53C7"/>
    <w:rsid w:val="00AF63EF"/>
    <w:rsid w:val="00B05324"/>
    <w:rsid w:val="00B306C7"/>
    <w:rsid w:val="00B34855"/>
    <w:rsid w:val="00B718D1"/>
    <w:rsid w:val="00B72FBA"/>
    <w:rsid w:val="00B94EE1"/>
    <w:rsid w:val="00BB4376"/>
    <w:rsid w:val="00BB7419"/>
    <w:rsid w:val="00BC5E31"/>
    <w:rsid w:val="00BC637C"/>
    <w:rsid w:val="00BD10C9"/>
    <w:rsid w:val="00BD1611"/>
    <w:rsid w:val="00BD4BCF"/>
    <w:rsid w:val="00C12E52"/>
    <w:rsid w:val="00C13378"/>
    <w:rsid w:val="00C13982"/>
    <w:rsid w:val="00C173DF"/>
    <w:rsid w:val="00C179DB"/>
    <w:rsid w:val="00C31C47"/>
    <w:rsid w:val="00C31C97"/>
    <w:rsid w:val="00C32592"/>
    <w:rsid w:val="00C51FCA"/>
    <w:rsid w:val="00C64E0E"/>
    <w:rsid w:val="00C76E8F"/>
    <w:rsid w:val="00CA089D"/>
    <w:rsid w:val="00CA73CE"/>
    <w:rsid w:val="00CB5900"/>
    <w:rsid w:val="00CB7433"/>
    <w:rsid w:val="00CE0CAB"/>
    <w:rsid w:val="00CF017D"/>
    <w:rsid w:val="00CF565F"/>
    <w:rsid w:val="00D44B48"/>
    <w:rsid w:val="00D45E6C"/>
    <w:rsid w:val="00D5282A"/>
    <w:rsid w:val="00D53034"/>
    <w:rsid w:val="00D62449"/>
    <w:rsid w:val="00D63F5A"/>
    <w:rsid w:val="00D703D2"/>
    <w:rsid w:val="00D8630D"/>
    <w:rsid w:val="00D92C7A"/>
    <w:rsid w:val="00DB39F0"/>
    <w:rsid w:val="00DC3183"/>
    <w:rsid w:val="00DD6374"/>
    <w:rsid w:val="00DF596E"/>
    <w:rsid w:val="00E0575A"/>
    <w:rsid w:val="00E13767"/>
    <w:rsid w:val="00E16181"/>
    <w:rsid w:val="00E25A11"/>
    <w:rsid w:val="00E371AB"/>
    <w:rsid w:val="00E3747E"/>
    <w:rsid w:val="00E54B68"/>
    <w:rsid w:val="00E61643"/>
    <w:rsid w:val="00E7767C"/>
    <w:rsid w:val="00E81926"/>
    <w:rsid w:val="00EA11AE"/>
    <w:rsid w:val="00ED1375"/>
    <w:rsid w:val="00EF5CEA"/>
    <w:rsid w:val="00F01567"/>
    <w:rsid w:val="00F031A3"/>
    <w:rsid w:val="00F37004"/>
    <w:rsid w:val="00F43955"/>
    <w:rsid w:val="00F6798F"/>
    <w:rsid w:val="00F7503F"/>
    <w:rsid w:val="00F827D6"/>
    <w:rsid w:val="00FA7739"/>
    <w:rsid w:val="00FD2423"/>
    <w:rsid w:val="00FD79D9"/>
    <w:rsid w:val="00FE06AE"/>
    <w:rsid w:val="00FE1184"/>
    <w:rsid w:val="00FE31A3"/>
    <w:rsid w:val="00FF01E4"/>
    <w:rsid w:val="00FF7566"/>
    <w:rsid w:val="02731753"/>
    <w:rsid w:val="03E47515"/>
    <w:rsid w:val="06FD1028"/>
    <w:rsid w:val="082B3963"/>
    <w:rsid w:val="09AD03A9"/>
    <w:rsid w:val="0B493779"/>
    <w:rsid w:val="0C9475FE"/>
    <w:rsid w:val="11034D52"/>
    <w:rsid w:val="11D434C0"/>
    <w:rsid w:val="15BE2CE3"/>
    <w:rsid w:val="169C346D"/>
    <w:rsid w:val="16E60ECE"/>
    <w:rsid w:val="1B30538E"/>
    <w:rsid w:val="1F106C47"/>
    <w:rsid w:val="1F9E4908"/>
    <w:rsid w:val="2173382E"/>
    <w:rsid w:val="222508AD"/>
    <w:rsid w:val="235F22BC"/>
    <w:rsid w:val="23A93364"/>
    <w:rsid w:val="23F80794"/>
    <w:rsid w:val="25421B6F"/>
    <w:rsid w:val="269C64AC"/>
    <w:rsid w:val="285A5748"/>
    <w:rsid w:val="28837DB2"/>
    <w:rsid w:val="289A78F2"/>
    <w:rsid w:val="2953641F"/>
    <w:rsid w:val="2B56501D"/>
    <w:rsid w:val="2C70553A"/>
    <w:rsid w:val="2DAC74A1"/>
    <w:rsid w:val="2E8D7FDC"/>
    <w:rsid w:val="2F6E0589"/>
    <w:rsid w:val="34F4558F"/>
    <w:rsid w:val="3574212B"/>
    <w:rsid w:val="35E235E8"/>
    <w:rsid w:val="36CC7811"/>
    <w:rsid w:val="3BE26ECE"/>
    <w:rsid w:val="3CF53DBD"/>
    <w:rsid w:val="3DCC2CA5"/>
    <w:rsid w:val="3E2972F7"/>
    <w:rsid w:val="3FDB0F30"/>
    <w:rsid w:val="4042166F"/>
    <w:rsid w:val="4185755D"/>
    <w:rsid w:val="44257BCC"/>
    <w:rsid w:val="48E36524"/>
    <w:rsid w:val="493C3DF8"/>
    <w:rsid w:val="4ADC1F27"/>
    <w:rsid w:val="4DA4725D"/>
    <w:rsid w:val="5099048E"/>
    <w:rsid w:val="51196440"/>
    <w:rsid w:val="52375FA4"/>
    <w:rsid w:val="551F7CC5"/>
    <w:rsid w:val="55B041BC"/>
    <w:rsid w:val="591361CC"/>
    <w:rsid w:val="5BA83AF9"/>
    <w:rsid w:val="5BCD5942"/>
    <w:rsid w:val="5DFD63D7"/>
    <w:rsid w:val="5E711D7C"/>
    <w:rsid w:val="5F294965"/>
    <w:rsid w:val="5F663F89"/>
    <w:rsid w:val="5FB014FF"/>
    <w:rsid w:val="60686E7A"/>
    <w:rsid w:val="61702B9F"/>
    <w:rsid w:val="620F6329"/>
    <w:rsid w:val="65717652"/>
    <w:rsid w:val="6632170D"/>
    <w:rsid w:val="67EB0C16"/>
    <w:rsid w:val="69CA3620"/>
    <w:rsid w:val="6A174E2C"/>
    <w:rsid w:val="6E122D4D"/>
    <w:rsid w:val="6F3C4CFF"/>
    <w:rsid w:val="6F833684"/>
    <w:rsid w:val="6FC34D69"/>
    <w:rsid w:val="716963F3"/>
    <w:rsid w:val="72B97AF2"/>
    <w:rsid w:val="74CA5699"/>
    <w:rsid w:val="75507F4C"/>
    <w:rsid w:val="76CD3615"/>
    <w:rsid w:val="79BA116F"/>
    <w:rsid w:val="7D8D4546"/>
    <w:rsid w:val="7D8D57FE"/>
    <w:rsid w:val="7DCB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
      <w:jc w:val="center"/>
      <w:outlineLvl w:val="0"/>
    </w:pPr>
    <w:rPr>
      <w:b/>
      <w:bCs/>
      <w:sz w:val="44"/>
      <w:szCs w:val="44"/>
    </w:rPr>
  </w:style>
  <w:style w:type="paragraph" w:styleId="4">
    <w:name w:val="heading 2"/>
    <w:basedOn w:val="1"/>
    <w:next w:val="5"/>
    <w:qFormat/>
    <w:uiPriority w:val="1"/>
    <w:pPr>
      <w:spacing w:before="43"/>
      <w:ind w:left="12"/>
      <w:jc w:val="center"/>
      <w:outlineLvl w:val="1"/>
    </w:pPr>
    <w:rPr>
      <w:b/>
      <w:bCs/>
      <w:sz w:val="32"/>
      <w:szCs w:val="32"/>
    </w:rPr>
  </w:style>
  <w:style w:type="paragraph" w:styleId="6">
    <w:name w:val="heading 3"/>
    <w:basedOn w:val="1"/>
    <w:next w:val="5"/>
    <w:qFormat/>
    <w:uiPriority w:val="1"/>
    <w:pPr>
      <w:spacing w:before="141"/>
      <w:ind w:left="472"/>
      <w:jc w:val="center"/>
      <w:outlineLvl w:val="2"/>
    </w:pPr>
    <w:rPr>
      <w:rFonts w:ascii="黑体" w:hAnsi="黑体" w:eastAsia="黑体" w:cs="黑体"/>
      <w:b/>
      <w:bCs/>
      <w:sz w:val="28"/>
      <w:szCs w:val="28"/>
    </w:rPr>
  </w:style>
  <w:style w:type="paragraph" w:styleId="7">
    <w:name w:val="heading 4"/>
    <w:basedOn w:val="1"/>
    <w:next w:val="1"/>
    <w:qFormat/>
    <w:uiPriority w:val="1"/>
    <w:pPr>
      <w:ind w:left="472"/>
      <w:outlineLvl w:val="3"/>
    </w:pPr>
    <w:rPr>
      <w:sz w:val="28"/>
      <w:szCs w:val="28"/>
    </w:rPr>
  </w:style>
  <w:style w:type="paragraph" w:styleId="8">
    <w:name w:val="heading 5"/>
    <w:basedOn w:val="1"/>
    <w:next w:val="1"/>
    <w:qFormat/>
    <w:uiPriority w:val="1"/>
    <w:pPr>
      <w:ind w:left="955"/>
      <w:outlineLvl w:val="4"/>
    </w:pPr>
    <w:rPr>
      <w:b/>
      <w:bCs/>
      <w:sz w:val="24"/>
      <w:szCs w:val="24"/>
    </w:rPr>
  </w:style>
  <w:style w:type="paragraph" w:styleId="9">
    <w:name w:val="heading 6"/>
    <w:basedOn w:val="1"/>
    <w:next w:val="1"/>
    <w:qFormat/>
    <w:uiPriority w:val="1"/>
    <w:pPr>
      <w:ind w:left="918" w:hanging="664"/>
      <w:outlineLvl w:val="5"/>
    </w:pPr>
    <w:rPr>
      <w:b/>
      <w:bCs/>
    </w:rPr>
  </w:style>
  <w:style w:type="paragraph" w:styleId="10">
    <w:name w:val="heading 7"/>
    <w:basedOn w:val="1"/>
    <w:next w:val="1"/>
    <w:qFormat/>
    <w:uiPriority w:val="1"/>
    <w:pPr>
      <w:spacing w:before="61"/>
      <w:outlineLvl w:val="6"/>
    </w:pPr>
    <w:rPr>
      <w:b/>
      <w:bCs/>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5">
    <w:name w:val="Normal Indent"/>
    <w:basedOn w:val="1"/>
    <w:qFormat/>
    <w:uiPriority w:val="0"/>
    <w:pPr>
      <w:ind w:firstLine="420"/>
    </w:pPr>
  </w:style>
  <w:style w:type="paragraph" w:styleId="11">
    <w:name w:val="annotation text"/>
    <w:basedOn w:val="1"/>
    <w:link w:val="39"/>
    <w:qFormat/>
    <w:uiPriority w:val="0"/>
  </w:style>
  <w:style w:type="paragraph" w:styleId="12">
    <w:name w:val="Body Text Indent"/>
    <w:basedOn w:val="1"/>
    <w:next w:val="13"/>
    <w:qFormat/>
    <w:uiPriority w:val="0"/>
    <w:pPr>
      <w:ind w:left="765"/>
    </w:pPr>
    <w:rPr>
      <w:rFonts w:ascii="仿宋_GB2312" w:eastAsia="仿宋_GB2312"/>
      <w:sz w:val="28"/>
      <w:szCs w:val="20"/>
    </w:rPr>
  </w:style>
  <w:style w:type="paragraph" w:styleId="13">
    <w:name w:val="envelope return"/>
    <w:basedOn w:val="1"/>
    <w:qFormat/>
    <w:uiPriority w:val="99"/>
    <w:rPr>
      <w:rFonts w:ascii="Arial" w:hAnsi="Arial"/>
    </w:rPr>
  </w:style>
  <w:style w:type="paragraph" w:styleId="14">
    <w:name w:val="Block Text"/>
    <w:basedOn w:val="1"/>
    <w:qFormat/>
    <w:uiPriority w:val="99"/>
    <w:pPr>
      <w:autoSpaceDE/>
      <w:autoSpaceDN/>
      <w:ind w:left="1440" w:leftChars="700" w:right="700" w:rightChars="700"/>
      <w:jc w:val="both"/>
    </w:pPr>
    <w:rPr>
      <w:rFonts w:ascii="Times New Roman" w:hAnsi="Times New Roman" w:cs="Times New Roman"/>
      <w:color w:val="FF0000"/>
      <w:kern w:val="2"/>
      <w:sz w:val="18"/>
      <w:szCs w:val="24"/>
      <w:lang w:val="en-US" w:bidi="ar-SA"/>
    </w:rPr>
  </w:style>
  <w:style w:type="paragraph" w:styleId="15">
    <w:name w:val="index 3"/>
    <w:basedOn w:val="1"/>
    <w:next w:val="1"/>
    <w:qFormat/>
    <w:uiPriority w:val="0"/>
    <w:pPr>
      <w:ind w:left="400" w:leftChars="400"/>
    </w:pPr>
  </w:style>
  <w:style w:type="paragraph" w:styleId="16">
    <w:name w:val="footer"/>
    <w:basedOn w:val="1"/>
    <w:link w:val="35"/>
    <w:qFormat/>
    <w:uiPriority w:val="0"/>
    <w:pPr>
      <w:tabs>
        <w:tab w:val="center" w:pos="4153"/>
        <w:tab w:val="right" w:pos="8306"/>
      </w:tabs>
      <w:snapToGrid w:val="0"/>
    </w:pPr>
    <w:rPr>
      <w:sz w:val="18"/>
      <w:szCs w:val="18"/>
    </w:rPr>
  </w:style>
  <w:style w:type="paragraph" w:styleId="17">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37"/>
    <w:qFormat/>
    <w:uiPriority w:val="0"/>
    <w:pPr>
      <w:snapToGrid w:val="0"/>
    </w:pPr>
    <w:rPr>
      <w:sz w:val="18"/>
      <w:szCs w:val="18"/>
    </w:rPr>
  </w:style>
  <w:style w:type="paragraph" w:styleId="19">
    <w:name w:val="HTML Preformatted"/>
    <w:basedOn w:val="1"/>
    <w:link w:val="4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val="0"/>
      <w:spacing w:line="360" w:lineRule="atLeast"/>
      <w:jc w:val="both"/>
    </w:pPr>
    <w:rPr>
      <w:rFonts w:ascii="Courier New" w:hAnsi="Courier New" w:cs="Times New Roman"/>
      <w:sz w:val="20"/>
      <w:szCs w:val="20"/>
      <w:lang w:val="en-US" w:bidi="ar-SA"/>
    </w:rPr>
  </w:style>
  <w:style w:type="paragraph" w:styleId="20">
    <w:name w:val="Normal (Web)"/>
    <w:basedOn w:val="1"/>
    <w:qFormat/>
    <w:uiPriority w:val="0"/>
    <w:pPr>
      <w:widowControl/>
      <w:spacing w:before="100" w:beforeAutospacing="1" w:after="100" w:afterAutospacing="1"/>
    </w:pPr>
    <w:rPr>
      <w:sz w:val="24"/>
      <w:szCs w:val="24"/>
    </w:rPr>
  </w:style>
  <w:style w:type="paragraph" w:styleId="21">
    <w:name w:val="annotation subject"/>
    <w:basedOn w:val="11"/>
    <w:next w:val="11"/>
    <w:link w:val="40"/>
    <w:qFormat/>
    <w:uiPriority w:val="0"/>
    <w:pPr>
      <w:autoSpaceDE/>
      <w:autoSpaceDN/>
    </w:pPr>
    <w:rPr>
      <w:rFonts w:ascii="Times New Roman" w:hAnsi="Times New Roman" w:cs="Times New Roman"/>
      <w:b/>
      <w:bCs/>
      <w:kern w:val="2"/>
      <w:sz w:val="21"/>
      <w:szCs w:val="20"/>
      <w:lang w:val="en-US" w:bidi="ar-SA"/>
    </w:rPr>
  </w:style>
  <w:style w:type="paragraph" w:styleId="22">
    <w:name w:val="Body Text First Indent"/>
    <w:basedOn w:val="2"/>
    <w:qFormat/>
    <w:uiPriority w:val="0"/>
    <w:pPr>
      <w:tabs>
        <w:tab w:val="left" w:pos="2020"/>
        <w:tab w:val="center" w:pos="4535"/>
      </w:tabs>
      <w:ind w:firstLine="420" w:firstLineChars="100"/>
    </w:pPr>
  </w:style>
  <w:style w:type="character" w:styleId="25">
    <w:name w:val="page number"/>
    <w:qFormat/>
    <w:uiPriority w:val="0"/>
    <w:rPr>
      <w:rFonts w:ascii="Times New Roman" w:hAnsi="Times New Roman" w:eastAsia="宋体" w:cs="Times New Roman"/>
    </w:rPr>
  </w:style>
  <w:style w:type="paragraph" w:customStyle="1" w:styleId="26">
    <w:name w:val="style4"/>
    <w:basedOn w:val="1"/>
    <w:next w:val="27"/>
    <w:qFormat/>
    <w:uiPriority w:val="0"/>
    <w:pPr>
      <w:widowControl/>
      <w:spacing w:before="280" w:after="280"/>
    </w:pPr>
    <w:rPr>
      <w:sz w:val="18"/>
    </w:rPr>
  </w:style>
  <w:style w:type="paragraph" w:customStyle="1" w:styleId="27">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472" w:firstLine="420"/>
    </w:pPr>
  </w:style>
  <w:style w:type="paragraph" w:customStyle="1" w:styleId="30">
    <w:name w:val="Table Paragraph"/>
    <w:basedOn w:val="1"/>
    <w:qFormat/>
    <w:uiPriority w:val="1"/>
  </w:style>
  <w:style w:type="paragraph" w:customStyle="1" w:styleId="31">
    <w:name w:val="正文缩进2格"/>
    <w:basedOn w:val="1"/>
    <w:qFormat/>
    <w:uiPriority w:val="0"/>
    <w:pPr>
      <w:spacing w:line="600" w:lineRule="exact"/>
      <w:ind w:firstLine="639" w:firstLineChars="206"/>
    </w:pPr>
    <w:rPr>
      <w:rFonts w:ascii="仿宋_GB2312" w:eastAsia="仿宋_GB2312"/>
      <w:sz w:val="31"/>
      <w:szCs w:val="28"/>
    </w:rPr>
  </w:style>
  <w:style w:type="paragraph" w:customStyle="1" w:styleId="32">
    <w:name w:val="正文_0_0"/>
    <w:basedOn w:val="1"/>
    <w:qFormat/>
    <w:uiPriority w:val="0"/>
    <w:pPr>
      <w:jc w:val="both"/>
    </w:pPr>
    <w:rPr>
      <w:rFonts w:ascii="Times New Roman" w:hAnsi="Times New Roman" w:cs="Times New Roman"/>
      <w:kern w:val="2"/>
      <w:sz w:val="21"/>
      <w:szCs w:val="24"/>
      <w:lang w:val="en-US" w:bidi="ar-SA"/>
    </w:rPr>
  </w:style>
  <w:style w:type="paragraph" w:customStyle="1" w:styleId="33">
    <w:name w:val="p0"/>
    <w:qFormat/>
    <w:uiPriority w:val="0"/>
    <w:rPr>
      <w:rFonts w:ascii="Times New Roman" w:hAnsi="Times New Roman" w:eastAsia="宋体" w:cs="Times New Roman"/>
      <w:szCs w:val="21"/>
      <w:lang w:val="en-US" w:eastAsia="zh-CN" w:bidi="ar-SA"/>
    </w:rPr>
  </w:style>
  <w:style w:type="character" w:customStyle="1" w:styleId="34">
    <w:name w:val="页眉 字符"/>
    <w:basedOn w:val="24"/>
    <w:link w:val="17"/>
    <w:qFormat/>
    <w:uiPriority w:val="0"/>
    <w:rPr>
      <w:rFonts w:ascii="宋体" w:hAnsi="宋体" w:eastAsia="宋体" w:cs="宋体"/>
      <w:sz w:val="18"/>
      <w:szCs w:val="18"/>
      <w:lang w:val="zh-CN" w:bidi="zh-CN"/>
    </w:rPr>
  </w:style>
  <w:style w:type="character" w:customStyle="1" w:styleId="35">
    <w:name w:val="页脚 字符"/>
    <w:basedOn w:val="24"/>
    <w:link w:val="16"/>
    <w:qFormat/>
    <w:uiPriority w:val="0"/>
    <w:rPr>
      <w:rFonts w:ascii="宋体" w:hAnsi="宋体" w:eastAsia="宋体" w:cs="宋体"/>
      <w:sz w:val="18"/>
      <w:szCs w:val="18"/>
      <w:lang w:val="zh-CN" w:bidi="zh-CN"/>
    </w:rPr>
  </w:style>
  <w:style w:type="character" w:customStyle="1" w:styleId="36">
    <w:name w:val="标题 1 Char Char"/>
    <w:qFormat/>
    <w:uiPriority w:val="0"/>
    <w:rPr>
      <w:rFonts w:ascii="Times New Roman" w:hAnsi="Times New Roman" w:eastAsia="宋体" w:cs="Times New Roman"/>
      <w:b/>
      <w:spacing w:val="-2"/>
      <w:sz w:val="24"/>
      <w:lang w:val="en-US" w:eastAsia="zh-CN" w:bidi="ar-SA"/>
    </w:rPr>
  </w:style>
  <w:style w:type="character" w:customStyle="1" w:styleId="37">
    <w:name w:val="脚注文本 字符"/>
    <w:basedOn w:val="24"/>
    <w:link w:val="18"/>
    <w:qFormat/>
    <w:uiPriority w:val="0"/>
    <w:rPr>
      <w:rFonts w:ascii="宋体" w:hAnsi="宋体" w:eastAsia="宋体" w:cs="宋体"/>
      <w:sz w:val="18"/>
      <w:szCs w:val="18"/>
      <w:lang w:val="zh-CN" w:bidi="zh-CN"/>
    </w:rPr>
  </w:style>
  <w:style w:type="paragraph" w:customStyle="1" w:styleId="38">
    <w:name w:val="首行缩进"/>
    <w:basedOn w:val="1"/>
    <w:qFormat/>
    <w:uiPriority w:val="0"/>
    <w:pPr>
      <w:spacing w:line="360" w:lineRule="auto"/>
      <w:ind w:firstLine="480" w:firstLineChars="200"/>
    </w:pPr>
    <w:rPr>
      <w:sz w:val="24"/>
    </w:rPr>
  </w:style>
  <w:style w:type="character" w:customStyle="1" w:styleId="39">
    <w:name w:val="批注文字 字符"/>
    <w:basedOn w:val="24"/>
    <w:link w:val="11"/>
    <w:qFormat/>
    <w:uiPriority w:val="0"/>
    <w:rPr>
      <w:rFonts w:ascii="宋体" w:hAnsi="宋体" w:eastAsia="宋体" w:cs="宋体"/>
      <w:sz w:val="22"/>
      <w:szCs w:val="22"/>
      <w:lang w:val="zh-CN" w:bidi="zh-CN"/>
    </w:rPr>
  </w:style>
  <w:style w:type="character" w:customStyle="1" w:styleId="40">
    <w:name w:val="批注主题 字符"/>
    <w:basedOn w:val="39"/>
    <w:link w:val="21"/>
    <w:qFormat/>
    <w:uiPriority w:val="0"/>
    <w:rPr>
      <w:rFonts w:ascii="Times New Roman" w:hAnsi="Times New Roman" w:eastAsia="宋体" w:cs="Times New Roman"/>
      <w:b/>
      <w:bCs/>
      <w:kern w:val="2"/>
      <w:sz w:val="21"/>
      <w:szCs w:val="22"/>
      <w:lang w:val="zh-CN" w:bidi="zh-CN"/>
    </w:rPr>
  </w:style>
  <w:style w:type="character" w:customStyle="1" w:styleId="41">
    <w:name w:val="HTML 预设格式 字符"/>
    <w:basedOn w:val="24"/>
    <w:link w:val="19"/>
    <w:qFormat/>
    <w:uiPriority w:val="0"/>
    <w:rPr>
      <w:rFonts w:ascii="Courier New" w:hAnsi="Courier New" w:eastAsia="宋体" w:cs="Times New Roman"/>
    </w:rPr>
  </w:style>
  <w:style w:type="paragraph" w:customStyle="1" w:styleId="42">
    <w:name w:val="正文1"/>
    <w:basedOn w:val="1"/>
    <w:qFormat/>
    <w:uiPriority w:val="0"/>
    <w:pPr>
      <w:spacing w:line="360" w:lineRule="auto"/>
      <w:ind w:firstLine="361"/>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8CC79-684E-4FF4-BBA9-93E1AC578A27}">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1989</Words>
  <Characters>11340</Characters>
  <Lines>94</Lines>
  <Paragraphs>26</Paragraphs>
  <TotalTime>5</TotalTime>
  <ScaleCrop>false</ScaleCrop>
  <LinksUpToDate>false</LinksUpToDate>
  <CharactersWithSpaces>13303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2023-10-23T03:08:00Z</dcterms:created>
  <dc:creator>中国名望</dc:creator>
  <cp:lastModifiedBy>Administrator</cp:lastModifiedBy>
  <cp:lastPrinted>2022-08-09T09:08:00Z</cp:lastPrinted>
  <dcterms:modified xsi:type="dcterms:W3CDTF">2024-09-29T06:28:49Z</dcterms:modified>
  <dc:title>海门市政府采购招标文件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Office Word 2007</vt:lpwstr>
  </property>
  <property fmtid="{D5CDD505-2E9C-101B-9397-08002B2CF9AE}" pid="4" name="LastSaved">
    <vt:filetime>2022-01-10T00:00:00Z</vt:filetime>
  </property>
  <property fmtid="{D5CDD505-2E9C-101B-9397-08002B2CF9AE}" pid="5" name="KSOProductBuildVer">
    <vt:lpwstr>2052-11.8.2.11473</vt:lpwstr>
  </property>
  <property fmtid="{D5CDD505-2E9C-101B-9397-08002B2CF9AE}" pid="6" name="ICV">
    <vt:lpwstr>520F7E8C8C0BD49EE24B1963BCE0D7B0</vt:lpwstr>
  </property>
</Properties>
</file>