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rPr>
          <w:rFonts w:asciiTheme="minorEastAsia" w:hAnsiTheme="minorEastAsia" w:eastAsiaTheme="minorEastAsia"/>
          <w:sz w:val="20"/>
        </w:rPr>
      </w:pPr>
    </w:p>
    <w:p>
      <w:pPr>
        <w:pStyle w:val="11"/>
        <w:rPr>
          <w:rFonts w:asciiTheme="minorEastAsia" w:hAnsiTheme="minorEastAsia" w:eastAsiaTheme="minorEastAsia"/>
          <w:sz w:val="20"/>
        </w:rPr>
      </w:pPr>
    </w:p>
    <w:p>
      <w:pPr>
        <w:pStyle w:val="11"/>
        <w:spacing w:before="8"/>
        <w:rPr>
          <w:rFonts w:asciiTheme="minorEastAsia" w:hAnsiTheme="minorEastAsia" w:eastAsiaTheme="minorEastAsia"/>
          <w:sz w:val="23"/>
        </w:rPr>
      </w:pPr>
    </w:p>
    <w:p>
      <w:pPr>
        <w:spacing w:line="1123" w:lineRule="exact"/>
        <w:ind w:left="5"/>
        <w:jc w:val="center"/>
        <w:rPr>
          <w:rFonts w:asciiTheme="minorEastAsia" w:hAnsiTheme="minorEastAsia" w:eastAsiaTheme="minorEastAsia"/>
          <w:b/>
          <w:sz w:val="84"/>
        </w:rPr>
      </w:pPr>
      <w:r>
        <w:rPr>
          <w:rFonts w:hint="eastAsia" w:asciiTheme="minorEastAsia" w:hAnsiTheme="minorEastAsia" w:eastAsiaTheme="minorEastAsia"/>
          <w:b/>
          <w:sz w:val="84"/>
        </w:rPr>
        <w:t>南通市海门区政府采购</w:t>
      </w:r>
    </w:p>
    <w:p>
      <w:pPr>
        <w:spacing w:line="1205" w:lineRule="exact"/>
        <w:ind w:left="11"/>
        <w:jc w:val="center"/>
        <w:rPr>
          <w:rFonts w:asciiTheme="minorEastAsia" w:hAnsiTheme="minorEastAsia" w:eastAsiaTheme="minorEastAsia"/>
          <w:b/>
          <w:sz w:val="84"/>
        </w:rPr>
      </w:pPr>
      <w:r>
        <w:rPr>
          <w:rFonts w:hint="eastAsia" w:asciiTheme="minorEastAsia" w:hAnsiTheme="minorEastAsia" w:eastAsiaTheme="minorEastAsia"/>
          <w:b/>
          <w:sz w:val="84"/>
        </w:rPr>
        <w:t>招标文件</w:t>
      </w:r>
    </w:p>
    <w:p>
      <w:pPr>
        <w:pStyle w:val="11"/>
        <w:rPr>
          <w:rFonts w:asciiTheme="minorEastAsia" w:hAnsiTheme="minorEastAsia" w:eastAsiaTheme="minorEastAsia"/>
          <w:b/>
          <w:sz w:val="86"/>
        </w:rPr>
      </w:pPr>
    </w:p>
    <w:p>
      <w:pPr>
        <w:pStyle w:val="11"/>
        <w:rPr>
          <w:rFonts w:asciiTheme="minorEastAsia" w:hAnsiTheme="minorEastAsia" w:eastAsiaTheme="minorEastAsia"/>
          <w:b/>
          <w:sz w:val="86"/>
        </w:rPr>
      </w:pPr>
    </w:p>
    <w:p>
      <w:pPr>
        <w:pStyle w:val="11"/>
        <w:rPr>
          <w:rFonts w:asciiTheme="minorEastAsia" w:hAnsiTheme="minorEastAsia" w:eastAsiaTheme="minorEastAsia"/>
          <w:b/>
          <w:sz w:val="86"/>
        </w:rPr>
      </w:pPr>
    </w:p>
    <w:p>
      <w:pPr>
        <w:pStyle w:val="11"/>
        <w:rPr>
          <w:rFonts w:asciiTheme="minorEastAsia" w:hAnsiTheme="minorEastAsia" w:eastAsiaTheme="minorEastAsia"/>
          <w:b/>
          <w:sz w:val="86"/>
        </w:rPr>
      </w:pPr>
    </w:p>
    <w:p>
      <w:pPr>
        <w:pStyle w:val="11"/>
        <w:ind w:firstLine="1680" w:firstLineChars="600"/>
        <w:rPr>
          <w:rFonts w:asciiTheme="minorEastAsia" w:hAnsiTheme="minorEastAsia" w:eastAsiaTheme="minorEastAsia"/>
          <w:sz w:val="28"/>
          <w:szCs w:val="28"/>
          <w:u w:val="single"/>
        </w:rPr>
      </w:pPr>
      <w:r>
        <w:rPr>
          <w:rFonts w:asciiTheme="minorEastAsia" w:hAnsiTheme="minorEastAsia" w:eastAsiaTheme="minorEastAsia"/>
          <w:sz w:val="28"/>
          <w:szCs w:val="28"/>
        </w:rPr>
        <w:t>项目名称：</w:t>
      </w:r>
      <w:r>
        <w:rPr>
          <w:rFonts w:hint="eastAsia" w:asciiTheme="minorEastAsia" w:hAnsiTheme="minorEastAsia" w:eastAsiaTheme="minorEastAsia"/>
          <w:sz w:val="28"/>
          <w:szCs w:val="28"/>
          <w:u w:val="single"/>
        </w:rPr>
        <w:t>南通市海门区区域社会治理现代化指挥中心采购海门</w:t>
      </w:r>
      <w:r>
        <w:rPr>
          <w:rFonts w:hint="eastAsia" w:asciiTheme="minorEastAsia" w:hAnsiTheme="minorEastAsia" w:eastAsiaTheme="minorEastAsia"/>
          <w:sz w:val="28"/>
          <w:szCs w:val="28"/>
          <w:u w:val="single"/>
          <w:lang w:val="en-US"/>
        </w:rPr>
        <w:t>区</w:t>
      </w:r>
      <w:r>
        <w:rPr>
          <w:rFonts w:hint="eastAsia" w:asciiTheme="minorEastAsia" w:hAnsiTheme="minorEastAsia" w:eastAsiaTheme="minorEastAsia"/>
          <w:sz w:val="28"/>
          <w:szCs w:val="28"/>
          <w:u w:val="single"/>
        </w:rPr>
        <w:t>可视化</w:t>
      </w:r>
      <w:r>
        <w:rPr>
          <w:rFonts w:hint="eastAsia" w:asciiTheme="minorEastAsia" w:hAnsiTheme="minorEastAsia" w:eastAsiaTheme="minorEastAsia"/>
          <w:sz w:val="28"/>
          <w:szCs w:val="28"/>
          <w:u w:val="single"/>
          <w:lang w:val="en-US"/>
        </w:rPr>
        <w:t>联动指挥</w:t>
      </w:r>
      <w:r>
        <w:rPr>
          <w:rFonts w:hint="eastAsia" w:asciiTheme="minorEastAsia" w:hAnsiTheme="minorEastAsia" w:eastAsiaTheme="minorEastAsia"/>
          <w:sz w:val="28"/>
          <w:szCs w:val="28"/>
          <w:u w:val="single"/>
        </w:rPr>
        <w:t>平台和</w:t>
      </w:r>
      <w:r>
        <w:rPr>
          <w:rFonts w:hint="eastAsia" w:asciiTheme="minorEastAsia" w:hAnsiTheme="minorEastAsia" w:eastAsiaTheme="minorEastAsia"/>
          <w:sz w:val="28"/>
          <w:szCs w:val="28"/>
          <w:u w:val="single"/>
          <w:lang w:val="en-US"/>
        </w:rPr>
        <w:t>海门区</w:t>
      </w:r>
      <w:r>
        <w:rPr>
          <w:rFonts w:hint="eastAsia" w:asciiTheme="minorEastAsia" w:hAnsiTheme="minorEastAsia" w:eastAsiaTheme="minorEastAsia"/>
          <w:sz w:val="28"/>
          <w:szCs w:val="28"/>
          <w:u w:val="single"/>
        </w:rPr>
        <w:t>政务信息</w:t>
      </w:r>
      <w:r>
        <w:rPr>
          <w:rFonts w:hint="eastAsia" w:asciiTheme="minorEastAsia" w:hAnsiTheme="minorEastAsia" w:eastAsiaTheme="minorEastAsia"/>
          <w:sz w:val="28"/>
          <w:szCs w:val="28"/>
          <w:u w:val="single"/>
          <w:lang w:val="en-US"/>
        </w:rPr>
        <w:t>资源</w:t>
      </w:r>
      <w:r>
        <w:rPr>
          <w:rFonts w:hint="eastAsia" w:asciiTheme="minorEastAsia" w:hAnsiTheme="minorEastAsia" w:eastAsiaTheme="minorEastAsia"/>
          <w:sz w:val="28"/>
          <w:szCs w:val="28"/>
          <w:u w:val="single"/>
        </w:rPr>
        <w:t>共享平台三级等保测评项目</w:t>
      </w:r>
    </w:p>
    <w:p>
      <w:pPr>
        <w:pStyle w:val="12"/>
      </w:pPr>
    </w:p>
    <w:p>
      <w:pPr>
        <w:pStyle w:val="11"/>
        <w:ind w:firstLine="1680" w:firstLineChars="600"/>
        <w:rPr>
          <w:rFonts w:asciiTheme="minorEastAsia" w:hAnsiTheme="minorEastAsia" w:eastAsiaTheme="minorEastAsia"/>
          <w:sz w:val="28"/>
          <w:szCs w:val="28"/>
          <w:lang w:val="en-US"/>
        </w:rPr>
      </w:pPr>
      <w:r>
        <w:rPr>
          <w:rFonts w:asciiTheme="minorEastAsia" w:hAnsiTheme="minorEastAsia" w:eastAsiaTheme="minorEastAsia"/>
          <w:sz w:val="28"/>
          <w:szCs w:val="28"/>
        </w:rPr>
        <w:t>采购单位:</w:t>
      </w:r>
      <w:r>
        <w:rPr>
          <w:rFonts w:hint="eastAsia" w:asciiTheme="minorEastAsia" w:hAnsiTheme="minorEastAsia" w:eastAsiaTheme="minorEastAsia"/>
          <w:sz w:val="28"/>
          <w:szCs w:val="28"/>
          <w:u w:val="single"/>
        </w:rPr>
        <w:t xml:space="preserve"> 南通市海门区区域社会治理现代化指挥中心</w:t>
      </w:r>
    </w:p>
    <w:p>
      <w:pPr>
        <w:pStyle w:val="11"/>
        <w:rPr>
          <w:rFonts w:asciiTheme="minorEastAsia" w:hAnsiTheme="minorEastAsia" w:eastAsiaTheme="minorEastAsia"/>
          <w:sz w:val="20"/>
        </w:rPr>
      </w:pPr>
    </w:p>
    <w:p>
      <w:pPr>
        <w:pStyle w:val="11"/>
        <w:rPr>
          <w:rFonts w:asciiTheme="minorEastAsia" w:hAnsiTheme="minorEastAsia" w:eastAsiaTheme="minorEastAsia"/>
          <w:sz w:val="20"/>
        </w:rPr>
      </w:pPr>
    </w:p>
    <w:p>
      <w:pPr>
        <w:pStyle w:val="11"/>
        <w:spacing w:before="10"/>
        <w:rPr>
          <w:rFonts w:asciiTheme="minorEastAsia" w:hAnsiTheme="minorEastAsia" w:eastAsiaTheme="minorEastAsia"/>
          <w:sz w:val="18"/>
        </w:rPr>
      </w:pPr>
    </w:p>
    <w:p>
      <w:pPr>
        <w:pStyle w:val="3"/>
        <w:spacing w:before="55" w:line="338" w:lineRule="auto"/>
        <w:ind w:left="3637" w:right="2644" w:hanging="1045"/>
        <w:rPr>
          <w:rFonts w:asciiTheme="minorEastAsia" w:hAnsiTheme="minorEastAsia" w:eastAsiaTheme="minorEastAsia"/>
          <w:szCs w:val="22"/>
        </w:rPr>
      </w:pPr>
    </w:p>
    <w:p>
      <w:pPr>
        <w:pStyle w:val="4"/>
      </w:pPr>
    </w:p>
    <w:p>
      <w:pPr>
        <w:pStyle w:val="3"/>
        <w:spacing w:before="55" w:line="338" w:lineRule="auto"/>
        <w:ind w:left="3637" w:right="2644" w:hanging="1045"/>
        <w:rPr>
          <w:rFonts w:asciiTheme="minorEastAsia" w:hAnsiTheme="minorEastAsia" w:eastAsiaTheme="minorEastAsia"/>
          <w:szCs w:val="22"/>
        </w:rPr>
      </w:pPr>
    </w:p>
    <w:p>
      <w:pPr>
        <w:pStyle w:val="3"/>
        <w:spacing w:before="55" w:line="338" w:lineRule="auto"/>
        <w:ind w:left="3637" w:right="2644" w:hanging="1045"/>
        <w:rPr>
          <w:rFonts w:asciiTheme="minorEastAsia" w:hAnsiTheme="minorEastAsia" w:eastAsiaTheme="minorEastAsia"/>
          <w:szCs w:val="22"/>
        </w:rPr>
      </w:pPr>
      <w:r>
        <w:rPr>
          <w:rFonts w:hint="eastAsia" w:asciiTheme="minorEastAsia" w:hAnsiTheme="minorEastAsia" w:eastAsiaTheme="minorEastAsia"/>
          <w:szCs w:val="22"/>
        </w:rPr>
        <w:t>江苏建达全过程工程咨询有限公司</w:t>
      </w:r>
    </w:p>
    <w:p>
      <w:pPr>
        <w:pStyle w:val="3"/>
        <w:spacing w:before="55" w:line="338" w:lineRule="auto"/>
        <w:ind w:left="3637" w:right="2644" w:hanging="1045"/>
        <w:rPr>
          <w:rFonts w:asciiTheme="minorEastAsia" w:hAnsiTheme="minorEastAsia" w:eastAsiaTheme="minorEastAsia"/>
        </w:rPr>
      </w:pPr>
      <w:r>
        <w:rPr>
          <w:rFonts w:asciiTheme="minorEastAsia" w:hAnsiTheme="minorEastAsia" w:eastAsiaTheme="minorEastAsia"/>
          <w:spacing w:val="-21"/>
        </w:rPr>
        <w:t>二○二</w:t>
      </w:r>
      <w:r>
        <w:rPr>
          <w:rFonts w:hint="eastAsia" w:asciiTheme="minorEastAsia" w:hAnsiTheme="minorEastAsia" w:eastAsiaTheme="minorEastAsia"/>
          <w:spacing w:val="-21"/>
        </w:rPr>
        <w:t>三</w:t>
      </w:r>
      <w:r>
        <w:rPr>
          <w:rFonts w:asciiTheme="minorEastAsia" w:hAnsiTheme="minorEastAsia" w:eastAsiaTheme="minorEastAsia"/>
          <w:spacing w:val="-21"/>
        </w:rPr>
        <w:t>年</w:t>
      </w:r>
      <w:r>
        <w:rPr>
          <w:rFonts w:hint="eastAsia" w:asciiTheme="minorEastAsia" w:hAnsiTheme="minorEastAsia" w:eastAsiaTheme="minorEastAsia"/>
          <w:spacing w:val="-21"/>
          <w:lang w:val="en-US"/>
        </w:rPr>
        <w:t>十一</w:t>
      </w:r>
      <w:r>
        <w:rPr>
          <w:rFonts w:asciiTheme="minorEastAsia" w:hAnsiTheme="minorEastAsia" w:eastAsiaTheme="minorEastAsia"/>
          <w:spacing w:val="-21"/>
        </w:rPr>
        <w:t>月</w:t>
      </w:r>
      <w:r>
        <w:rPr>
          <w:rFonts w:hint="eastAsia" w:asciiTheme="minorEastAsia" w:hAnsiTheme="minorEastAsia" w:eastAsiaTheme="minorEastAsia"/>
          <w:spacing w:val="-21"/>
        </w:rPr>
        <w:t>二十七</w:t>
      </w:r>
      <w:r>
        <w:rPr>
          <w:rFonts w:asciiTheme="minorEastAsia" w:hAnsiTheme="minorEastAsia" w:eastAsiaTheme="minorEastAsia"/>
          <w:spacing w:val="-21"/>
        </w:rPr>
        <w:t>日</w:t>
      </w:r>
    </w:p>
    <w:p>
      <w:pPr>
        <w:pStyle w:val="2"/>
        <w:tabs>
          <w:tab w:val="left" w:pos="2221"/>
        </w:tabs>
        <w:spacing w:before="122"/>
        <w:rPr>
          <w:rFonts w:asciiTheme="minorEastAsia" w:hAnsiTheme="minorEastAsia" w:eastAsiaTheme="minorEastAsia"/>
        </w:rPr>
      </w:pPr>
    </w:p>
    <w:p>
      <w:pPr>
        <w:pStyle w:val="2"/>
        <w:tabs>
          <w:tab w:val="left" w:pos="2221"/>
        </w:tabs>
        <w:spacing w:before="122"/>
        <w:rPr>
          <w:rFonts w:asciiTheme="minorEastAsia" w:hAnsiTheme="minorEastAsia" w:eastAsiaTheme="minorEastAsia"/>
        </w:rPr>
      </w:pPr>
    </w:p>
    <w:p>
      <w:pPr>
        <w:pStyle w:val="2"/>
        <w:tabs>
          <w:tab w:val="left" w:pos="2221"/>
        </w:tabs>
        <w:spacing w:before="122"/>
        <w:rPr>
          <w:rFonts w:asciiTheme="minorEastAsia" w:hAnsiTheme="minorEastAsia" w:eastAsiaTheme="minorEastAsia"/>
        </w:rPr>
      </w:pPr>
      <w:r>
        <w:rPr>
          <w:rFonts w:asciiTheme="minorEastAsia" w:hAnsiTheme="minorEastAsia" w:eastAsiaTheme="minorEastAsia"/>
        </w:rPr>
        <w:t>第一部分</w:t>
      </w:r>
      <w:r>
        <w:rPr>
          <w:rFonts w:asciiTheme="minorEastAsia" w:hAnsiTheme="minorEastAsia" w:eastAsiaTheme="minorEastAsia"/>
        </w:rPr>
        <w:tab/>
      </w:r>
      <w:r>
        <w:rPr>
          <w:rFonts w:hint="eastAsia"/>
        </w:rPr>
        <w:t>竞争性磋商</w:t>
      </w:r>
      <w:r>
        <w:rPr>
          <w:rFonts w:asciiTheme="minorEastAsia" w:hAnsiTheme="minorEastAsia" w:eastAsiaTheme="minorEastAsia"/>
        </w:rPr>
        <w:t>公告</w:t>
      </w:r>
    </w:p>
    <w:p>
      <w:pPr>
        <w:tabs>
          <w:tab w:val="left" w:pos="3233"/>
        </w:tabs>
        <w:spacing w:before="42" w:line="360" w:lineRule="auto"/>
        <w:ind w:right="459" w:firstLine="720" w:firstLineChars="300"/>
        <w:rPr>
          <w:rFonts w:asciiTheme="minorEastAsia" w:hAnsiTheme="minorEastAsia" w:eastAsiaTheme="minorEastAsia"/>
          <w:sz w:val="24"/>
        </w:rPr>
      </w:pPr>
      <w:r>
        <w:rPr>
          <w:rFonts w:asciiTheme="minorEastAsia" w:hAnsiTheme="minorEastAsia" w:eastAsiaTheme="minorEastAsia"/>
          <w:sz w:val="24"/>
        </w:rPr>
        <w:t>根据政府采购相关法律法规的规定，</w:t>
      </w:r>
      <w:r>
        <w:rPr>
          <w:rFonts w:asciiTheme="minorEastAsia" w:hAnsiTheme="minorEastAsia" w:eastAsiaTheme="minorEastAsia"/>
          <w:sz w:val="24"/>
          <w:u w:val="single"/>
        </w:rPr>
        <w:t>江苏建达全过程工程咨询有限公司</w:t>
      </w:r>
      <w:r>
        <w:rPr>
          <w:rFonts w:asciiTheme="minorEastAsia" w:hAnsiTheme="minorEastAsia" w:eastAsiaTheme="minorEastAsia"/>
          <w:sz w:val="24"/>
        </w:rPr>
        <w:t>受</w:t>
      </w:r>
      <w:r>
        <w:rPr>
          <w:rFonts w:hint="eastAsia" w:asciiTheme="minorEastAsia" w:hAnsiTheme="minorEastAsia" w:eastAsiaTheme="minorEastAsia"/>
          <w:sz w:val="24"/>
          <w:u w:val="single"/>
        </w:rPr>
        <w:t>南通市海门区区域社会治理现代化指挥中心</w:t>
      </w:r>
      <w:r>
        <w:rPr>
          <w:rFonts w:asciiTheme="minorEastAsia" w:hAnsiTheme="minorEastAsia" w:eastAsiaTheme="minorEastAsia"/>
          <w:sz w:val="24"/>
        </w:rPr>
        <w:t>的委托</w:t>
      </w:r>
      <w:r>
        <w:rPr>
          <w:rFonts w:asciiTheme="minorEastAsia" w:hAnsiTheme="minorEastAsia" w:eastAsiaTheme="minorEastAsia"/>
          <w:spacing w:val="-29"/>
          <w:sz w:val="24"/>
        </w:rPr>
        <w:t>，</w:t>
      </w:r>
      <w:r>
        <w:rPr>
          <w:rFonts w:asciiTheme="minorEastAsia" w:hAnsiTheme="minorEastAsia" w:eastAsiaTheme="minorEastAsia"/>
          <w:sz w:val="24"/>
        </w:rPr>
        <w:t>就</w:t>
      </w:r>
      <w:r>
        <w:rPr>
          <w:rFonts w:hint="eastAsia" w:cs="仿宋"/>
          <w:sz w:val="24"/>
          <w:szCs w:val="24"/>
          <w:u w:val="single"/>
        </w:rPr>
        <w:t>南通市海门区区域社会治理现代化指挥中心采购海门</w:t>
      </w:r>
      <w:r>
        <w:rPr>
          <w:rFonts w:hint="eastAsia" w:cs="仿宋"/>
          <w:sz w:val="24"/>
          <w:szCs w:val="24"/>
          <w:u w:val="single"/>
          <w:lang w:val="en-US"/>
        </w:rPr>
        <w:t>区</w:t>
      </w:r>
      <w:r>
        <w:rPr>
          <w:rFonts w:hint="eastAsia" w:cs="仿宋"/>
          <w:sz w:val="24"/>
          <w:szCs w:val="24"/>
          <w:u w:val="single"/>
        </w:rPr>
        <w:t>可视化</w:t>
      </w:r>
      <w:r>
        <w:rPr>
          <w:rFonts w:hint="eastAsia" w:cs="仿宋"/>
          <w:sz w:val="24"/>
          <w:szCs w:val="24"/>
          <w:u w:val="single"/>
          <w:lang w:val="en-US"/>
        </w:rPr>
        <w:t>联动指挥</w:t>
      </w:r>
      <w:r>
        <w:rPr>
          <w:rFonts w:hint="eastAsia" w:cs="仿宋"/>
          <w:sz w:val="24"/>
          <w:szCs w:val="24"/>
          <w:u w:val="single"/>
        </w:rPr>
        <w:t>平台和</w:t>
      </w:r>
      <w:r>
        <w:rPr>
          <w:rFonts w:hint="eastAsia" w:cs="仿宋"/>
          <w:sz w:val="24"/>
          <w:szCs w:val="24"/>
          <w:u w:val="single"/>
          <w:lang w:val="en-US"/>
        </w:rPr>
        <w:t>海门区</w:t>
      </w:r>
      <w:r>
        <w:rPr>
          <w:rFonts w:hint="eastAsia" w:cs="仿宋"/>
          <w:sz w:val="24"/>
          <w:szCs w:val="24"/>
          <w:u w:val="single"/>
        </w:rPr>
        <w:t>政务信息</w:t>
      </w:r>
      <w:r>
        <w:rPr>
          <w:rFonts w:hint="eastAsia" w:cs="仿宋"/>
          <w:sz w:val="24"/>
          <w:szCs w:val="24"/>
          <w:u w:val="single"/>
          <w:lang w:val="en-US"/>
        </w:rPr>
        <w:t>资源</w:t>
      </w:r>
      <w:r>
        <w:rPr>
          <w:rFonts w:hint="eastAsia" w:cs="仿宋"/>
          <w:sz w:val="24"/>
          <w:szCs w:val="24"/>
          <w:u w:val="single"/>
        </w:rPr>
        <w:t>共享平台</w:t>
      </w:r>
      <w:r>
        <w:rPr>
          <w:rFonts w:hint="eastAsia" w:cs="仿宋"/>
          <w:sz w:val="24"/>
          <w:szCs w:val="24"/>
        </w:rPr>
        <w:t>三级等保测评项目</w:t>
      </w:r>
      <w:r>
        <w:rPr>
          <w:rFonts w:asciiTheme="minorEastAsia" w:hAnsiTheme="minorEastAsia" w:eastAsiaTheme="minorEastAsia"/>
          <w:sz w:val="24"/>
        </w:rPr>
        <w:t>进行</w:t>
      </w:r>
      <w:r>
        <w:rPr>
          <w:rFonts w:hint="eastAsia"/>
          <w:sz w:val="24"/>
          <w:szCs w:val="24"/>
        </w:rPr>
        <w:t>竞争性磋商</w:t>
      </w:r>
      <w:r>
        <w:rPr>
          <w:rFonts w:asciiTheme="minorEastAsia" w:hAnsiTheme="minorEastAsia" w:eastAsiaTheme="minorEastAsia"/>
          <w:sz w:val="24"/>
        </w:rPr>
        <w:t>，欢迎符合要求的单位前来参与</w:t>
      </w:r>
      <w:r>
        <w:rPr>
          <w:rFonts w:hint="eastAsia"/>
          <w:sz w:val="24"/>
          <w:szCs w:val="24"/>
        </w:rPr>
        <w:t>磋商</w:t>
      </w:r>
      <w:r>
        <w:rPr>
          <w:rFonts w:asciiTheme="minorEastAsia" w:hAnsiTheme="minorEastAsia" w:eastAsiaTheme="minorEastAsia"/>
          <w:sz w:val="24"/>
        </w:rPr>
        <w:t>。</w:t>
      </w:r>
    </w:p>
    <w:p>
      <w:pPr>
        <w:spacing w:before="31" w:line="360" w:lineRule="auto"/>
        <w:ind w:left="472"/>
        <w:rPr>
          <w:rFonts w:asciiTheme="minorEastAsia" w:hAnsiTheme="minorEastAsia" w:eastAsiaTheme="minorEastAsia"/>
          <w:sz w:val="24"/>
        </w:rPr>
      </w:pPr>
      <w:r>
        <w:rPr>
          <w:rFonts w:asciiTheme="minorEastAsia" w:hAnsiTheme="minorEastAsia" w:eastAsiaTheme="minorEastAsia"/>
          <w:sz w:val="24"/>
        </w:rPr>
        <w:t>一、项目名称：</w:t>
      </w:r>
      <w:r>
        <w:rPr>
          <w:rFonts w:hint="eastAsia" w:cs="仿宋"/>
          <w:sz w:val="24"/>
          <w:szCs w:val="24"/>
          <w:u w:val="single"/>
        </w:rPr>
        <w:t>南通市海门区区域社会治理现代化指挥中心采购海门</w:t>
      </w:r>
      <w:r>
        <w:rPr>
          <w:rFonts w:hint="eastAsia" w:cs="仿宋"/>
          <w:sz w:val="24"/>
          <w:szCs w:val="24"/>
          <w:u w:val="single"/>
          <w:lang w:val="en-US"/>
        </w:rPr>
        <w:t>区</w:t>
      </w:r>
      <w:r>
        <w:rPr>
          <w:rFonts w:hint="eastAsia" w:cs="仿宋"/>
          <w:sz w:val="24"/>
          <w:szCs w:val="24"/>
          <w:u w:val="single"/>
        </w:rPr>
        <w:t>可视化</w:t>
      </w:r>
      <w:r>
        <w:rPr>
          <w:rFonts w:hint="eastAsia" w:cs="仿宋"/>
          <w:sz w:val="24"/>
          <w:szCs w:val="24"/>
          <w:u w:val="single"/>
          <w:lang w:val="en-US"/>
        </w:rPr>
        <w:t>联动指挥</w:t>
      </w:r>
      <w:r>
        <w:rPr>
          <w:rFonts w:hint="eastAsia" w:cs="仿宋"/>
          <w:sz w:val="24"/>
          <w:szCs w:val="24"/>
          <w:u w:val="single"/>
        </w:rPr>
        <w:t>平台和</w:t>
      </w:r>
      <w:r>
        <w:rPr>
          <w:rFonts w:hint="eastAsia" w:cs="仿宋"/>
          <w:sz w:val="24"/>
          <w:szCs w:val="24"/>
          <w:u w:val="single"/>
          <w:lang w:val="en-US"/>
        </w:rPr>
        <w:t>海门区</w:t>
      </w:r>
      <w:r>
        <w:rPr>
          <w:rFonts w:hint="eastAsia" w:cs="仿宋"/>
          <w:sz w:val="24"/>
          <w:szCs w:val="24"/>
          <w:u w:val="single"/>
        </w:rPr>
        <w:t>政务信息</w:t>
      </w:r>
      <w:r>
        <w:rPr>
          <w:rFonts w:hint="eastAsia" w:cs="仿宋"/>
          <w:sz w:val="24"/>
          <w:szCs w:val="24"/>
          <w:u w:val="single"/>
          <w:lang w:val="en-US"/>
        </w:rPr>
        <w:t>资源</w:t>
      </w:r>
      <w:r>
        <w:rPr>
          <w:rFonts w:hint="eastAsia" w:cs="仿宋"/>
          <w:sz w:val="24"/>
          <w:szCs w:val="24"/>
          <w:u w:val="single"/>
        </w:rPr>
        <w:t>共享平台三级等保测评项目</w:t>
      </w:r>
    </w:p>
    <w:p>
      <w:pPr>
        <w:spacing w:before="33" w:line="360" w:lineRule="auto"/>
        <w:ind w:firstLine="960" w:firstLineChars="400"/>
        <w:rPr>
          <w:rFonts w:asciiTheme="minorEastAsia" w:hAnsiTheme="minorEastAsia" w:eastAsiaTheme="minorEastAsia"/>
          <w:sz w:val="24"/>
        </w:rPr>
      </w:pPr>
      <w:r>
        <w:rPr>
          <w:rFonts w:asciiTheme="minorEastAsia" w:hAnsiTheme="minorEastAsia" w:eastAsiaTheme="minorEastAsia"/>
          <w:sz w:val="24"/>
        </w:rPr>
        <w:t>本项目主要内容简介：详见项目需求。</w:t>
      </w:r>
    </w:p>
    <w:p>
      <w:pPr>
        <w:spacing w:before="33"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二、</w:t>
      </w:r>
      <w:r>
        <w:rPr>
          <w:rFonts w:asciiTheme="minorEastAsia" w:hAnsiTheme="minorEastAsia" w:eastAsiaTheme="minorEastAsia"/>
          <w:b/>
          <w:sz w:val="24"/>
        </w:rPr>
        <w:t>本项目最高限价为</w:t>
      </w:r>
      <w:r>
        <w:rPr>
          <w:rFonts w:hint="eastAsia" w:asciiTheme="minorEastAsia" w:hAnsiTheme="minorEastAsia" w:eastAsiaTheme="minorEastAsia"/>
          <w:b/>
          <w:sz w:val="24"/>
        </w:rPr>
        <w:t xml:space="preserve">人民币 </w:t>
      </w:r>
      <w:r>
        <w:rPr>
          <w:rFonts w:asciiTheme="minorEastAsia" w:hAnsiTheme="minorEastAsia" w:eastAsiaTheme="minorEastAsia"/>
          <w:b/>
          <w:sz w:val="24"/>
          <w:lang w:val="en-US"/>
        </w:rPr>
        <w:t>10</w:t>
      </w:r>
      <w:r>
        <w:rPr>
          <w:rFonts w:hint="eastAsia" w:asciiTheme="minorEastAsia" w:hAnsiTheme="minorEastAsia" w:eastAsiaTheme="minorEastAsia"/>
          <w:b/>
          <w:sz w:val="24"/>
          <w:lang w:val="en-US"/>
        </w:rPr>
        <w:t>万</w:t>
      </w:r>
      <w:r>
        <w:rPr>
          <w:rFonts w:hint="eastAsia" w:asciiTheme="minorEastAsia" w:hAnsiTheme="minorEastAsia" w:eastAsiaTheme="minorEastAsia"/>
          <w:b/>
          <w:sz w:val="24"/>
        </w:rPr>
        <w:t>元</w:t>
      </w:r>
      <w:r>
        <w:rPr>
          <w:rFonts w:asciiTheme="minorEastAsia" w:hAnsiTheme="minorEastAsia" w:eastAsiaTheme="minorEastAsia"/>
          <w:b/>
          <w:sz w:val="24"/>
        </w:rPr>
        <w:t>,</w:t>
      </w:r>
      <w:r>
        <w:rPr>
          <w:rFonts w:asciiTheme="minorEastAsia" w:hAnsiTheme="minorEastAsia" w:eastAsiaTheme="minorEastAsia"/>
          <w:sz w:val="24"/>
        </w:rPr>
        <w:t>投标报价超过最高限价的视为无效报价。</w:t>
      </w:r>
    </w:p>
    <w:p>
      <w:pPr>
        <w:spacing w:before="31" w:line="360" w:lineRule="auto"/>
        <w:ind w:right="6311" w:firstLine="480" w:firstLineChars="200"/>
        <w:rPr>
          <w:rFonts w:asciiTheme="minorEastAsia" w:hAnsiTheme="minorEastAsia" w:eastAsiaTheme="minorEastAsia"/>
          <w:sz w:val="24"/>
        </w:rPr>
      </w:pPr>
      <w:r>
        <w:rPr>
          <w:rFonts w:asciiTheme="minorEastAsia" w:hAnsiTheme="minorEastAsia" w:eastAsiaTheme="minorEastAsia"/>
          <w:sz w:val="24"/>
        </w:rPr>
        <w:t>三、投标供应商的资格要求:</w:t>
      </w:r>
    </w:p>
    <w:p>
      <w:pPr>
        <w:widowControl/>
        <w:spacing w:line="360" w:lineRule="auto"/>
        <w:ind w:firstLine="480" w:firstLineChars="200"/>
        <w:textAlignment w:val="baseline"/>
        <w:rPr>
          <w:sz w:val="24"/>
          <w:szCs w:val="24"/>
        </w:rPr>
      </w:pPr>
      <w:r>
        <w:rPr>
          <w:rFonts w:hint="eastAsia"/>
          <w:sz w:val="24"/>
          <w:szCs w:val="24"/>
        </w:rPr>
        <w:t>（一）满足《中华人民共和国政府采购法》第二十二条规定：</w:t>
      </w:r>
    </w:p>
    <w:p>
      <w:pPr>
        <w:widowControl/>
        <w:spacing w:line="360" w:lineRule="auto"/>
        <w:ind w:firstLine="480" w:firstLineChars="200"/>
        <w:textAlignment w:val="baseline"/>
        <w:rPr>
          <w:sz w:val="24"/>
          <w:szCs w:val="24"/>
        </w:rPr>
      </w:pPr>
      <w:r>
        <w:rPr>
          <w:rFonts w:hint="eastAsia"/>
          <w:sz w:val="24"/>
          <w:szCs w:val="24"/>
        </w:rPr>
        <w:t>1、法人或者其他组织的营业执照等证明文件，自然人的身份证明；</w:t>
      </w:r>
    </w:p>
    <w:p>
      <w:pPr>
        <w:widowControl/>
        <w:spacing w:line="360" w:lineRule="auto"/>
        <w:ind w:firstLine="480" w:firstLineChars="200"/>
        <w:textAlignment w:val="baseline"/>
        <w:rPr>
          <w:sz w:val="24"/>
          <w:szCs w:val="24"/>
        </w:rPr>
      </w:pPr>
      <w:r>
        <w:rPr>
          <w:rFonts w:hint="eastAsia"/>
          <w:sz w:val="24"/>
          <w:szCs w:val="24"/>
        </w:rPr>
        <w:t>2、上一年度的财务状况报告（格式见招标文件附件）；</w:t>
      </w:r>
    </w:p>
    <w:p>
      <w:pPr>
        <w:widowControl/>
        <w:spacing w:line="360" w:lineRule="auto"/>
        <w:ind w:firstLine="480" w:firstLineChars="200"/>
        <w:textAlignment w:val="baseline"/>
        <w:rPr>
          <w:sz w:val="24"/>
          <w:szCs w:val="24"/>
        </w:rPr>
      </w:pPr>
      <w:r>
        <w:rPr>
          <w:rFonts w:hint="eastAsia"/>
          <w:sz w:val="24"/>
          <w:szCs w:val="24"/>
        </w:rPr>
        <w:t>3、依法缴纳税收和社会保障资金的相关材料；</w:t>
      </w:r>
    </w:p>
    <w:p>
      <w:pPr>
        <w:widowControl/>
        <w:spacing w:line="360" w:lineRule="auto"/>
        <w:ind w:firstLine="480" w:firstLineChars="200"/>
        <w:textAlignment w:val="baseline"/>
        <w:rPr>
          <w:sz w:val="24"/>
          <w:szCs w:val="24"/>
        </w:rPr>
      </w:pPr>
      <w:r>
        <w:rPr>
          <w:rFonts w:hint="eastAsia"/>
          <w:sz w:val="24"/>
          <w:szCs w:val="24"/>
        </w:rPr>
        <w:t>4、具备履行合同所必需的设备和专业技术能力的证明材料（格式见招标文件附件）；</w:t>
      </w:r>
    </w:p>
    <w:p>
      <w:pPr>
        <w:widowControl/>
        <w:spacing w:line="360" w:lineRule="auto"/>
        <w:ind w:firstLine="480" w:firstLineChars="200"/>
        <w:textAlignment w:val="baseline"/>
        <w:rPr>
          <w:sz w:val="24"/>
          <w:szCs w:val="24"/>
        </w:rPr>
      </w:pPr>
      <w:r>
        <w:rPr>
          <w:rFonts w:hint="eastAsia"/>
          <w:sz w:val="24"/>
          <w:szCs w:val="24"/>
        </w:rPr>
        <w:t>5、参加政府采购活动前3年内在经营活动中没有重大违法记录的书面声明（格式见招标文件附件）。</w:t>
      </w:r>
    </w:p>
    <w:p>
      <w:pPr>
        <w:widowControl/>
        <w:spacing w:line="360" w:lineRule="auto"/>
        <w:ind w:firstLine="480" w:firstLineChars="200"/>
        <w:textAlignment w:val="baseline"/>
        <w:rPr>
          <w:sz w:val="24"/>
          <w:szCs w:val="24"/>
        </w:rPr>
      </w:pPr>
      <w:r>
        <w:rPr>
          <w:rFonts w:hint="eastAsia"/>
          <w:sz w:val="24"/>
          <w:szCs w:val="24"/>
        </w:rPr>
        <w:t xml:space="preserve">（二）未被“信用中国”网站列入失信被执行人、重大税收违法案件当事人名单、政府采购严重失信行为记录名单（提供网站截图）；  </w:t>
      </w:r>
    </w:p>
    <w:p>
      <w:pPr>
        <w:widowControl/>
        <w:spacing w:line="360" w:lineRule="auto"/>
        <w:ind w:firstLine="480" w:firstLineChars="200"/>
        <w:textAlignment w:val="baseline"/>
        <w:rPr>
          <w:sz w:val="24"/>
          <w:szCs w:val="24"/>
        </w:rPr>
      </w:pPr>
      <w:r>
        <w:rPr>
          <w:rFonts w:hint="eastAsia"/>
          <w:sz w:val="24"/>
          <w:szCs w:val="24"/>
        </w:rPr>
        <w:t>（三）投标供应商其他资格要求：</w:t>
      </w:r>
      <w:r>
        <w:rPr>
          <w:rFonts w:hint="eastAsia"/>
          <w:b/>
          <w:sz w:val="24"/>
          <w:szCs w:val="24"/>
        </w:rPr>
        <w:t>投标供应商必须具有公安部门网络安全等级保护评估中心颁发的《网络安全等级测评与检测评估机构服务认证证书》，提供证书复印件（加盖公章）</w:t>
      </w:r>
    </w:p>
    <w:p>
      <w:pPr>
        <w:widowControl/>
        <w:spacing w:line="360" w:lineRule="auto"/>
        <w:ind w:firstLine="482" w:firstLineChars="200"/>
        <w:textAlignment w:val="baseline"/>
        <w:rPr>
          <w:b/>
          <w:bCs/>
          <w:sz w:val="24"/>
          <w:szCs w:val="24"/>
        </w:rPr>
      </w:pPr>
      <w:r>
        <w:rPr>
          <w:rFonts w:hint="eastAsia"/>
          <w:b/>
          <w:bCs/>
          <w:sz w:val="24"/>
          <w:szCs w:val="24"/>
        </w:rPr>
        <w:t>（四）落实政府采购政策需满足的资格要求：本项目属于专门面向中小微企业采购的项目，供应商应为中小微企业、监狱企业、残疾人福利性单位。</w:t>
      </w:r>
    </w:p>
    <w:p>
      <w:pPr>
        <w:widowControl/>
        <w:spacing w:line="360" w:lineRule="auto"/>
        <w:ind w:firstLine="480" w:firstLineChars="200"/>
      </w:pPr>
      <w:r>
        <w:rPr>
          <w:rFonts w:hint="eastAsia"/>
          <w:sz w:val="24"/>
          <w:szCs w:val="24"/>
        </w:rPr>
        <w:t>（五）本项目不接受联合体投标。</w:t>
      </w:r>
      <w:r>
        <w:rPr>
          <w:rFonts w:hint="eastAsia"/>
          <w:sz w:val="24"/>
          <w:szCs w:val="24"/>
        </w:rPr>
        <w:tab/>
      </w:r>
    </w:p>
    <w:p>
      <w:pPr>
        <w:pStyle w:val="11"/>
        <w:spacing w:before="8" w:line="360" w:lineRule="auto"/>
        <w:ind w:firstLine="480" w:firstLineChars="200"/>
        <w:rPr>
          <w:rFonts w:asciiTheme="minorEastAsia" w:hAnsiTheme="minorEastAsia" w:eastAsiaTheme="minorEastAsia"/>
          <w:sz w:val="24"/>
          <w:szCs w:val="22"/>
        </w:rPr>
      </w:pPr>
      <w:r>
        <w:rPr>
          <w:rFonts w:hint="eastAsia" w:asciiTheme="minorEastAsia" w:hAnsiTheme="minorEastAsia" w:eastAsiaTheme="minorEastAsia"/>
          <w:sz w:val="24"/>
          <w:szCs w:val="22"/>
        </w:rPr>
        <w:t>四、招标采购方式：</w:t>
      </w:r>
      <w:r>
        <w:rPr>
          <w:rFonts w:hint="eastAsia"/>
          <w:sz w:val="24"/>
          <w:szCs w:val="24"/>
        </w:rPr>
        <w:t>竞争性磋商</w:t>
      </w:r>
      <w:r>
        <w:rPr>
          <w:rFonts w:hint="eastAsia" w:asciiTheme="minorEastAsia" w:hAnsiTheme="minorEastAsia" w:eastAsiaTheme="minorEastAsia"/>
          <w:sz w:val="24"/>
          <w:szCs w:val="22"/>
        </w:rPr>
        <w:t>。</w:t>
      </w:r>
    </w:p>
    <w:p>
      <w:pPr>
        <w:spacing w:before="16" w:line="360" w:lineRule="auto"/>
        <w:ind w:right="6551"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五、采购文件获取：</w:t>
      </w:r>
    </w:p>
    <w:p>
      <w:pPr>
        <w:widowControl/>
        <w:spacing w:line="360" w:lineRule="auto"/>
        <w:ind w:firstLine="480" w:firstLineChars="200"/>
        <w:rPr>
          <w:bCs/>
          <w:kern w:val="2"/>
          <w:sz w:val="24"/>
          <w:szCs w:val="24"/>
          <w:lang w:val="en-US" w:bidi="ar-SA"/>
        </w:rPr>
      </w:pPr>
      <w:r>
        <w:rPr>
          <w:rFonts w:asciiTheme="minorEastAsia" w:hAnsiTheme="minorEastAsia" w:eastAsiaTheme="minorEastAsia"/>
          <w:sz w:val="24"/>
          <w:szCs w:val="24"/>
        </w:rPr>
        <w:t>符合招标条件的供应商如决定参与投标，请登录</w:t>
      </w:r>
      <w:r>
        <w:rPr>
          <w:rFonts w:hint="eastAsia" w:asciiTheme="minorEastAsia" w:hAnsiTheme="minorEastAsia" w:eastAsiaTheme="minorEastAsia"/>
          <w:sz w:val="24"/>
          <w:szCs w:val="24"/>
        </w:rPr>
        <w:t>南通市海门区人民政府网</w:t>
      </w:r>
      <w:r>
        <w:rPr>
          <w:rFonts w:asciiTheme="minorEastAsia" w:hAnsiTheme="minorEastAsia" w:eastAsiaTheme="minorEastAsia"/>
          <w:sz w:val="24"/>
          <w:szCs w:val="24"/>
        </w:rPr>
        <w:t>下载</w:t>
      </w:r>
      <w:r>
        <w:rPr>
          <w:rFonts w:hint="eastAsia"/>
          <w:bCs/>
          <w:kern w:val="2"/>
          <w:sz w:val="24"/>
          <w:szCs w:val="24"/>
          <w:lang w:val="en-US" w:bidi="ar-SA"/>
        </w:rPr>
        <w:t>。</w:t>
      </w:r>
    </w:p>
    <w:p>
      <w:pPr>
        <w:spacing w:before="3" w:line="360" w:lineRule="auto"/>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六、投标截止及开标时间：2023年</w:t>
      </w:r>
      <w:r>
        <w:rPr>
          <w:rFonts w:hint="eastAsia" w:asciiTheme="minorEastAsia" w:hAnsiTheme="minorEastAsia" w:eastAsiaTheme="minorEastAsia"/>
          <w:b/>
          <w:sz w:val="24"/>
          <w:szCs w:val="24"/>
        </w:rPr>
        <w:t>1</w:t>
      </w:r>
      <w:r>
        <w:rPr>
          <w:rFonts w:asciiTheme="minorEastAsia" w:hAnsiTheme="minorEastAsia" w:eastAsiaTheme="minorEastAsia"/>
          <w:b/>
          <w:sz w:val="24"/>
          <w:szCs w:val="24"/>
        </w:rPr>
        <w:t>2月</w:t>
      </w:r>
      <w:r>
        <w:rPr>
          <w:rFonts w:hint="eastAsia" w:asciiTheme="minorEastAsia" w:hAnsiTheme="minorEastAsia" w:eastAsiaTheme="minorEastAsia"/>
          <w:b/>
          <w:sz w:val="24"/>
          <w:szCs w:val="24"/>
        </w:rPr>
        <w:t>0</w:t>
      </w:r>
      <w:r>
        <w:rPr>
          <w:rFonts w:asciiTheme="minorEastAsia" w:hAnsiTheme="minorEastAsia" w:eastAsiaTheme="minorEastAsia"/>
          <w:b/>
          <w:sz w:val="24"/>
          <w:szCs w:val="24"/>
        </w:rPr>
        <w:t>8日</w:t>
      </w:r>
      <w:r>
        <w:rPr>
          <w:rFonts w:hint="eastAsia" w:asciiTheme="minorEastAsia" w:hAnsiTheme="minorEastAsia" w:eastAsiaTheme="minorEastAsia"/>
          <w:b/>
          <w:sz w:val="24"/>
          <w:szCs w:val="24"/>
          <w:lang w:val="en-US"/>
        </w:rPr>
        <w:t>上</w:t>
      </w:r>
      <w:r>
        <w:rPr>
          <w:rFonts w:asciiTheme="minorEastAsia" w:hAnsiTheme="minorEastAsia" w:eastAsiaTheme="minorEastAsia"/>
          <w:b/>
          <w:sz w:val="24"/>
          <w:szCs w:val="24"/>
        </w:rPr>
        <w:t>午</w:t>
      </w:r>
      <w:r>
        <w:rPr>
          <w:rFonts w:hint="eastAsia" w:asciiTheme="minorEastAsia" w:hAnsiTheme="minorEastAsia" w:eastAsiaTheme="minorEastAsia"/>
          <w:b/>
          <w:sz w:val="24"/>
          <w:szCs w:val="24"/>
        </w:rPr>
        <w:t>0</w:t>
      </w:r>
      <w:r>
        <w:rPr>
          <w:rFonts w:asciiTheme="minorEastAsia" w:hAnsiTheme="minorEastAsia" w:eastAsiaTheme="minorEastAsia"/>
          <w:b/>
          <w:sz w:val="24"/>
          <w:szCs w:val="24"/>
        </w:rPr>
        <w:t>9时30分（北京时间）</w:t>
      </w:r>
    </w:p>
    <w:p>
      <w:pPr>
        <w:spacing w:line="360" w:lineRule="auto"/>
        <w:ind w:firstLine="480" w:firstLineChars="200"/>
        <w:rPr>
          <w:rFonts w:asciiTheme="minorEastAsia" w:hAnsiTheme="minorEastAsia" w:eastAsiaTheme="minorEastAsia"/>
          <w:sz w:val="24"/>
          <w:lang w:val="en-US"/>
        </w:rPr>
      </w:pPr>
      <w:r>
        <w:rPr>
          <w:rFonts w:asciiTheme="minorEastAsia" w:hAnsiTheme="minorEastAsia" w:eastAsiaTheme="minorEastAsia"/>
          <w:sz w:val="24"/>
        </w:rPr>
        <w:t>七、递交投标文件、开标地点：</w:t>
      </w:r>
      <w:r>
        <w:rPr>
          <w:rFonts w:hint="eastAsia" w:asciiTheme="minorEastAsia" w:hAnsiTheme="minorEastAsia" w:eastAsiaTheme="minorEastAsia"/>
          <w:sz w:val="24"/>
        </w:rPr>
        <w:t>南通市海门区嘉陵江路1588号指挥中心511楼</w:t>
      </w:r>
      <w:r>
        <w:rPr>
          <w:rFonts w:hint="eastAsia" w:asciiTheme="minorEastAsia" w:hAnsiTheme="minorEastAsia" w:eastAsiaTheme="minorEastAsia"/>
          <w:sz w:val="24"/>
          <w:lang w:val="en-US"/>
        </w:rPr>
        <w:t>会议室</w:t>
      </w:r>
    </w:p>
    <w:p>
      <w:pPr>
        <w:tabs>
          <w:tab w:val="left" w:pos="3355"/>
        </w:tabs>
        <w:spacing w:before="34" w:line="360" w:lineRule="auto"/>
        <w:ind w:right="1990" w:firstLine="480" w:firstLineChars="200"/>
        <w:rPr>
          <w:rFonts w:asciiTheme="minorEastAsia" w:hAnsiTheme="minorEastAsia" w:eastAsiaTheme="minorEastAsia"/>
          <w:sz w:val="24"/>
        </w:rPr>
      </w:pPr>
      <w:r>
        <w:rPr>
          <w:rFonts w:asciiTheme="minorEastAsia" w:hAnsiTheme="minorEastAsia" w:eastAsiaTheme="minorEastAsia"/>
          <w:sz w:val="24"/>
        </w:rPr>
        <w:t>八、联系方式：</w:t>
      </w:r>
      <w:r>
        <w:rPr>
          <w:rFonts w:asciiTheme="minorEastAsia" w:hAnsiTheme="minorEastAsia" w:eastAsiaTheme="minorEastAsia"/>
          <w:sz w:val="24"/>
        </w:rPr>
        <w:tab/>
      </w:r>
    </w:p>
    <w:p>
      <w:pPr>
        <w:tabs>
          <w:tab w:val="left" w:pos="4193"/>
        </w:tabs>
        <w:spacing w:before="2" w:line="360" w:lineRule="auto"/>
        <w:ind w:right="3430" w:firstLine="600" w:firstLineChars="250"/>
        <w:rPr>
          <w:rFonts w:asciiTheme="minorEastAsia" w:hAnsiTheme="minorEastAsia" w:eastAsiaTheme="minorEastAsia"/>
          <w:sz w:val="24"/>
          <w:lang w:val="en-US"/>
        </w:rPr>
      </w:pPr>
      <w:r>
        <w:rPr>
          <w:rFonts w:asciiTheme="minorEastAsia" w:hAnsiTheme="minorEastAsia" w:eastAsiaTheme="minorEastAsia"/>
          <w:sz w:val="24"/>
        </w:rPr>
        <w:t>联系人</w:t>
      </w:r>
      <w:r>
        <w:rPr>
          <w:rFonts w:hint="eastAsia" w:asciiTheme="minorEastAsia" w:hAnsiTheme="minorEastAsia" w:eastAsiaTheme="minorEastAsia"/>
          <w:sz w:val="24"/>
        </w:rPr>
        <w:t>：</w:t>
      </w:r>
      <w:r>
        <w:rPr>
          <w:rFonts w:hint="eastAsia" w:asciiTheme="minorEastAsia" w:hAnsiTheme="minorEastAsia" w:eastAsiaTheme="minorEastAsia"/>
          <w:sz w:val="24"/>
          <w:lang w:val="en-US"/>
        </w:rPr>
        <w:t>施</w:t>
      </w:r>
      <w:r>
        <w:rPr>
          <w:rFonts w:hint="eastAsia" w:asciiTheme="minorEastAsia" w:hAnsiTheme="minorEastAsia" w:eastAsiaTheme="minorEastAsia"/>
          <w:sz w:val="24"/>
        </w:rPr>
        <w:t>先生</w:t>
      </w:r>
      <w:r>
        <w:rPr>
          <w:rFonts w:asciiTheme="minorEastAsia" w:hAnsiTheme="minorEastAsia" w:eastAsiaTheme="minorEastAsia"/>
          <w:sz w:val="24"/>
        </w:rPr>
        <w:tab/>
      </w:r>
      <w:r>
        <w:rPr>
          <w:rFonts w:asciiTheme="minorEastAsia" w:hAnsiTheme="minorEastAsia" w:eastAsiaTheme="minorEastAsia"/>
          <w:spacing w:val="-1"/>
          <w:sz w:val="24"/>
        </w:rPr>
        <w:t>联</w:t>
      </w:r>
      <w:r>
        <w:rPr>
          <w:rFonts w:asciiTheme="minorEastAsia" w:hAnsiTheme="minorEastAsia" w:eastAsiaTheme="minorEastAsia"/>
          <w:sz w:val="24"/>
        </w:rPr>
        <w:t>系电话：</w:t>
      </w:r>
      <w:r>
        <w:rPr>
          <w:rFonts w:hint="eastAsia" w:asciiTheme="minorEastAsia" w:hAnsiTheme="minorEastAsia" w:eastAsiaTheme="minorEastAsia"/>
          <w:sz w:val="24"/>
          <w:lang w:val="en-US"/>
        </w:rPr>
        <w:t>0513-82399020</w:t>
      </w:r>
    </w:p>
    <w:p>
      <w:pPr>
        <w:tabs>
          <w:tab w:val="left" w:pos="4193"/>
        </w:tabs>
        <w:spacing w:before="2" w:line="360" w:lineRule="auto"/>
        <w:ind w:left="110" w:leftChars="50" w:right="3430" w:firstLine="480" w:firstLineChars="200"/>
        <w:rPr>
          <w:rFonts w:asciiTheme="minorEastAsia" w:hAnsiTheme="minorEastAsia" w:eastAsiaTheme="minorEastAsia"/>
          <w:b/>
          <w:sz w:val="24"/>
        </w:rPr>
      </w:pPr>
      <w:r>
        <w:rPr>
          <w:rFonts w:asciiTheme="minorEastAsia" w:hAnsiTheme="minorEastAsia" w:eastAsiaTheme="minorEastAsia"/>
          <w:sz w:val="24"/>
        </w:rPr>
        <w:t>代理联系人：陈女士</w:t>
      </w:r>
      <w:r>
        <w:rPr>
          <w:rFonts w:asciiTheme="minorEastAsia" w:hAnsiTheme="minorEastAsia" w:eastAsiaTheme="minorEastAsia"/>
          <w:sz w:val="24"/>
        </w:rPr>
        <w:tab/>
      </w:r>
      <w:r>
        <w:rPr>
          <w:rFonts w:asciiTheme="minorEastAsia" w:hAnsiTheme="minorEastAsia" w:eastAsiaTheme="minorEastAsia"/>
          <w:sz w:val="24"/>
        </w:rPr>
        <w:t xml:space="preserve">联系电话：18912438989 </w:t>
      </w:r>
      <w:r>
        <w:rPr>
          <w:rFonts w:asciiTheme="minorEastAsia" w:hAnsiTheme="minorEastAsia" w:eastAsiaTheme="minorEastAsia"/>
          <w:b/>
          <w:sz w:val="24"/>
        </w:rPr>
        <w:t>友情提醒：</w:t>
      </w:r>
    </w:p>
    <w:p>
      <w:pPr>
        <w:spacing w:before="5" w:line="266" w:lineRule="auto"/>
        <w:ind w:left="472" w:right="429"/>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w:t>
      </w:r>
      <w:r>
        <w:rPr>
          <w:rFonts w:asciiTheme="minorEastAsia" w:hAnsiTheme="minorEastAsia" w:eastAsiaTheme="minorEastAsia"/>
          <w:sz w:val="24"/>
        </w:rPr>
        <w:t>请各供应商连续关注本网站可能发生的相关变化等信息。如没有及时获悉相关变化而引起的后果由供应商自负。</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w:t>
      </w:r>
      <w:r>
        <w:rPr>
          <w:rFonts w:asciiTheme="minorEastAsia" w:hAnsiTheme="minorEastAsia" w:eastAsiaTheme="minorEastAsia"/>
          <w:sz w:val="24"/>
        </w:rPr>
        <w:t>请各供应商认真阅读招标文件，严格遵守时间、资料提供等相关约定。</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pacing w:val="-7"/>
          <w:sz w:val="24"/>
        </w:rPr>
        <w:t>.</w:t>
      </w:r>
      <w:r>
        <w:rPr>
          <w:rFonts w:asciiTheme="minorEastAsia" w:hAnsiTheme="minorEastAsia" w:eastAsiaTheme="minorEastAsia"/>
          <w:spacing w:val="-7"/>
          <w:sz w:val="24"/>
        </w:rPr>
        <w:t>请各供应商认真对照资格要求，如不符合要求，无意或故意参与报名、投标所产生</w:t>
      </w:r>
      <w:r>
        <w:rPr>
          <w:rFonts w:asciiTheme="minorEastAsia" w:hAnsiTheme="minorEastAsia" w:eastAsiaTheme="minorEastAsia"/>
          <w:sz w:val="24"/>
        </w:rPr>
        <w:t>的一切后果由供应商自行承担。</w:t>
      </w:r>
    </w:p>
    <w:p>
      <w:pPr>
        <w:spacing w:before="20"/>
        <w:rPr>
          <w:rFonts w:asciiTheme="minorEastAsia" w:hAnsiTheme="minorEastAsia" w:eastAsiaTheme="minorEastAsia"/>
          <w:b/>
          <w:sz w:val="44"/>
        </w:rPr>
      </w:pPr>
    </w:p>
    <w:p>
      <w:pPr>
        <w:spacing w:before="20"/>
        <w:ind w:left="9"/>
        <w:jc w:val="center"/>
        <w:rPr>
          <w:rFonts w:asciiTheme="minorEastAsia" w:hAnsiTheme="minorEastAsia" w:eastAsiaTheme="minorEastAsia"/>
          <w:b/>
          <w:sz w:val="44"/>
        </w:rPr>
      </w:pPr>
      <w:r>
        <w:rPr>
          <w:rFonts w:asciiTheme="minorEastAsia" w:hAnsiTheme="minorEastAsia" w:eastAsiaTheme="minorEastAsia"/>
          <w:b/>
          <w:sz w:val="44"/>
        </w:rPr>
        <w:t>第二部分 采购项目需求</w:t>
      </w:r>
    </w:p>
    <w:p>
      <w:pPr>
        <w:spacing w:line="360" w:lineRule="auto"/>
        <w:jc w:val="center"/>
        <w:rPr>
          <w:rFonts w:asciiTheme="minorEastAsia" w:hAnsiTheme="minorEastAsia" w:eastAsiaTheme="minorEastAsia"/>
          <w:spacing w:val="-7"/>
          <w:sz w:val="24"/>
        </w:rPr>
      </w:pPr>
    </w:p>
    <w:p>
      <w:pPr>
        <w:spacing w:line="360" w:lineRule="auto"/>
        <w:jc w:val="center"/>
        <w:rPr>
          <w:rFonts w:asciiTheme="minorEastAsia" w:hAnsiTheme="minorEastAsia" w:eastAsiaTheme="minorEastAsia"/>
          <w:b/>
          <w:spacing w:val="-7"/>
          <w:sz w:val="24"/>
        </w:rPr>
      </w:pPr>
      <w:r>
        <w:rPr>
          <w:rFonts w:hint="eastAsia" w:asciiTheme="minorEastAsia" w:hAnsiTheme="minorEastAsia" w:eastAsiaTheme="minorEastAsia"/>
          <w:spacing w:val="-7"/>
          <w:sz w:val="24"/>
        </w:rPr>
        <w:t>第一章 采购项目内容</w:t>
      </w:r>
    </w:p>
    <w:p>
      <w:pPr>
        <w:spacing w:line="360" w:lineRule="auto"/>
        <w:ind w:firstLine="120" w:firstLineChars="50"/>
        <w:rPr>
          <w:sz w:val="24"/>
          <w:szCs w:val="24"/>
        </w:rPr>
      </w:pPr>
      <w:r>
        <w:rPr>
          <w:rFonts w:hint="eastAsia"/>
          <w:sz w:val="24"/>
          <w:szCs w:val="24"/>
        </w:rPr>
        <w:t>一、项目概况：</w:t>
      </w:r>
    </w:p>
    <w:p>
      <w:pPr>
        <w:widowControl/>
        <w:spacing w:line="360" w:lineRule="auto"/>
        <w:ind w:firstLine="480" w:firstLineChars="200"/>
        <w:rPr>
          <w:sz w:val="24"/>
          <w:szCs w:val="24"/>
        </w:rPr>
      </w:pPr>
      <w:r>
        <w:rPr>
          <w:rFonts w:hint="eastAsia"/>
          <w:sz w:val="24"/>
          <w:szCs w:val="24"/>
        </w:rPr>
        <w:t>为落实《网络安全法》第二十一条第三款“网络运营者应当按照网络安全等级保护制度的要求”，南通市海门区区域治理现代化指挥中心决定对单位信息系统进行网络安全等级保护测评，以明确信息系统现状，发现系统内部存在的安全隐患和不足，明确整改方向，降低系统被攻击的风险。</w:t>
      </w:r>
    </w:p>
    <w:p>
      <w:pPr>
        <w:spacing w:line="360" w:lineRule="auto"/>
        <w:ind w:firstLine="120" w:firstLineChars="50"/>
        <w:rPr>
          <w:sz w:val="24"/>
          <w:szCs w:val="24"/>
        </w:rPr>
      </w:pPr>
      <w:r>
        <w:rPr>
          <w:rFonts w:hint="eastAsia"/>
          <w:sz w:val="24"/>
          <w:szCs w:val="24"/>
        </w:rPr>
        <w:t>二、</w:t>
      </w:r>
      <w:r>
        <w:rPr>
          <w:rFonts w:hint="eastAsia"/>
          <w:sz w:val="24"/>
        </w:rPr>
        <w:t>项目测评范围</w:t>
      </w:r>
      <w:r>
        <w:rPr>
          <w:rFonts w:hint="eastAsia"/>
          <w:sz w:val="24"/>
          <w:szCs w:val="24"/>
        </w:rPr>
        <w:t>：</w:t>
      </w:r>
    </w:p>
    <w:tbl>
      <w:tblPr>
        <w:tblStyle w:val="23"/>
        <w:tblW w:w="9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312"/>
        <w:gridCol w:w="1493"/>
        <w:gridCol w:w="1245"/>
        <w:gridCol w:w="1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17" w:type="dxa"/>
            <w:vAlign w:val="center"/>
          </w:tcPr>
          <w:p>
            <w:pPr>
              <w:spacing w:line="276" w:lineRule="auto"/>
              <w:jc w:val="center"/>
              <w:rPr>
                <w:rFonts w:cs="仿宋"/>
                <w:sz w:val="24"/>
                <w:szCs w:val="24"/>
              </w:rPr>
            </w:pPr>
            <w:r>
              <w:rPr>
                <w:rFonts w:hint="eastAsia" w:cs="仿宋"/>
                <w:sz w:val="24"/>
                <w:szCs w:val="24"/>
              </w:rPr>
              <w:t>序号</w:t>
            </w:r>
          </w:p>
        </w:tc>
        <w:tc>
          <w:tcPr>
            <w:tcW w:w="4312" w:type="dxa"/>
            <w:vAlign w:val="center"/>
          </w:tcPr>
          <w:p>
            <w:pPr>
              <w:spacing w:line="276" w:lineRule="auto"/>
              <w:jc w:val="center"/>
              <w:rPr>
                <w:rFonts w:cs="仿宋"/>
                <w:sz w:val="24"/>
                <w:szCs w:val="24"/>
              </w:rPr>
            </w:pPr>
            <w:r>
              <w:rPr>
                <w:rFonts w:hint="eastAsia" w:cs="仿宋"/>
                <w:sz w:val="24"/>
                <w:szCs w:val="24"/>
              </w:rPr>
              <w:t>系统名称</w:t>
            </w:r>
          </w:p>
        </w:tc>
        <w:tc>
          <w:tcPr>
            <w:tcW w:w="1493" w:type="dxa"/>
            <w:vAlign w:val="center"/>
          </w:tcPr>
          <w:p>
            <w:pPr>
              <w:spacing w:line="276" w:lineRule="auto"/>
              <w:jc w:val="center"/>
              <w:rPr>
                <w:rFonts w:cs="仿宋"/>
                <w:sz w:val="24"/>
                <w:szCs w:val="24"/>
              </w:rPr>
            </w:pPr>
            <w:r>
              <w:rPr>
                <w:rFonts w:hint="eastAsia" w:cs="仿宋"/>
                <w:sz w:val="24"/>
                <w:szCs w:val="24"/>
              </w:rPr>
              <w:t>系统数量</w:t>
            </w:r>
          </w:p>
        </w:tc>
        <w:tc>
          <w:tcPr>
            <w:tcW w:w="1245" w:type="dxa"/>
            <w:vAlign w:val="center"/>
          </w:tcPr>
          <w:p>
            <w:pPr>
              <w:spacing w:line="276" w:lineRule="auto"/>
              <w:jc w:val="center"/>
              <w:rPr>
                <w:rFonts w:cs="仿宋"/>
                <w:sz w:val="24"/>
                <w:szCs w:val="24"/>
              </w:rPr>
            </w:pPr>
            <w:r>
              <w:rPr>
                <w:rFonts w:hint="eastAsia" w:cs="仿宋"/>
                <w:sz w:val="24"/>
                <w:szCs w:val="24"/>
              </w:rPr>
              <w:t>备案情况</w:t>
            </w:r>
          </w:p>
        </w:tc>
        <w:tc>
          <w:tcPr>
            <w:tcW w:w="1689" w:type="dxa"/>
            <w:vAlign w:val="center"/>
          </w:tcPr>
          <w:p>
            <w:pPr>
              <w:spacing w:line="276" w:lineRule="auto"/>
              <w:jc w:val="center"/>
              <w:rPr>
                <w:rFonts w:cs="仿宋"/>
                <w:sz w:val="24"/>
                <w:szCs w:val="24"/>
              </w:rPr>
            </w:pPr>
            <w:r>
              <w:rPr>
                <w:rFonts w:hint="eastAsia"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17" w:type="dxa"/>
            <w:vAlign w:val="center"/>
          </w:tcPr>
          <w:p>
            <w:pPr>
              <w:pStyle w:val="27"/>
              <w:spacing w:line="276" w:lineRule="auto"/>
              <w:jc w:val="center"/>
              <w:rPr>
                <w:rFonts w:cs="仿宋"/>
                <w:b/>
                <w:sz w:val="24"/>
                <w:szCs w:val="24"/>
                <w:lang w:val="en-US"/>
              </w:rPr>
            </w:pPr>
            <w:r>
              <w:rPr>
                <w:rFonts w:hint="eastAsia" w:cs="仿宋"/>
                <w:b/>
                <w:sz w:val="24"/>
                <w:szCs w:val="24"/>
                <w:lang w:val="en-US"/>
              </w:rPr>
              <w:t>11</w:t>
            </w:r>
          </w:p>
        </w:tc>
        <w:tc>
          <w:tcPr>
            <w:tcW w:w="4312" w:type="dxa"/>
            <w:vAlign w:val="center"/>
          </w:tcPr>
          <w:p>
            <w:pPr>
              <w:spacing w:line="276" w:lineRule="auto"/>
              <w:jc w:val="center"/>
              <w:rPr>
                <w:rFonts w:cs="仿宋"/>
                <w:b/>
                <w:sz w:val="24"/>
                <w:szCs w:val="24"/>
              </w:rPr>
            </w:pPr>
            <w:r>
              <w:rPr>
                <w:rFonts w:hint="eastAsia" w:cs="仿宋"/>
                <w:b/>
                <w:sz w:val="24"/>
                <w:szCs w:val="24"/>
              </w:rPr>
              <w:t>海门</w:t>
            </w:r>
            <w:r>
              <w:rPr>
                <w:rFonts w:hint="eastAsia" w:cs="仿宋"/>
                <w:b/>
                <w:sz w:val="24"/>
                <w:szCs w:val="24"/>
                <w:lang w:val="en-US"/>
              </w:rPr>
              <w:t>区</w:t>
            </w:r>
            <w:r>
              <w:rPr>
                <w:rFonts w:hint="eastAsia" w:cs="仿宋"/>
                <w:b/>
                <w:sz w:val="24"/>
                <w:szCs w:val="24"/>
              </w:rPr>
              <w:t>政务信息</w:t>
            </w:r>
            <w:r>
              <w:rPr>
                <w:rFonts w:hint="eastAsia" w:cs="仿宋"/>
                <w:b/>
                <w:sz w:val="24"/>
                <w:szCs w:val="24"/>
                <w:lang w:val="en-US"/>
              </w:rPr>
              <w:t>资源</w:t>
            </w:r>
            <w:r>
              <w:rPr>
                <w:rFonts w:hint="eastAsia" w:cs="仿宋"/>
                <w:b/>
                <w:sz w:val="24"/>
                <w:szCs w:val="24"/>
              </w:rPr>
              <w:t>共享</w:t>
            </w:r>
            <w:r>
              <w:rPr>
                <w:rFonts w:hint="eastAsia" w:cs="仿宋"/>
                <w:b/>
                <w:sz w:val="24"/>
                <w:szCs w:val="24"/>
                <w:lang w:val="en-US"/>
              </w:rPr>
              <w:t>交换</w:t>
            </w:r>
            <w:r>
              <w:rPr>
                <w:rFonts w:hint="eastAsia" w:cs="仿宋"/>
                <w:b/>
                <w:sz w:val="24"/>
                <w:szCs w:val="24"/>
              </w:rPr>
              <w:t>平台</w:t>
            </w:r>
          </w:p>
        </w:tc>
        <w:tc>
          <w:tcPr>
            <w:tcW w:w="1493" w:type="dxa"/>
            <w:vAlign w:val="center"/>
          </w:tcPr>
          <w:p>
            <w:pPr>
              <w:spacing w:line="276" w:lineRule="auto"/>
              <w:jc w:val="center"/>
              <w:rPr>
                <w:rFonts w:cs="仿宋"/>
                <w:b/>
                <w:sz w:val="24"/>
                <w:szCs w:val="24"/>
              </w:rPr>
            </w:pPr>
            <w:r>
              <w:rPr>
                <w:rFonts w:hint="eastAsia" w:cs="仿宋"/>
                <w:b/>
                <w:sz w:val="24"/>
                <w:szCs w:val="24"/>
                <w:lang w:val="en-US"/>
              </w:rPr>
              <w:t>1</w:t>
            </w:r>
            <w:r>
              <w:rPr>
                <w:rFonts w:hint="eastAsia" w:cs="仿宋"/>
                <w:b/>
                <w:sz w:val="24"/>
                <w:szCs w:val="24"/>
              </w:rPr>
              <w:t>个</w:t>
            </w:r>
          </w:p>
        </w:tc>
        <w:tc>
          <w:tcPr>
            <w:tcW w:w="1245" w:type="dxa"/>
            <w:vAlign w:val="center"/>
          </w:tcPr>
          <w:p>
            <w:pPr>
              <w:spacing w:line="276" w:lineRule="auto"/>
              <w:jc w:val="center"/>
              <w:rPr>
                <w:rFonts w:cs="仿宋"/>
                <w:b/>
                <w:sz w:val="24"/>
                <w:szCs w:val="24"/>
              </w:rPr>
            </w:pPr>
            <w:r>
              <w:rPr>
                <w:rFonts w:hint="eastAsia" w:cs="仿宋"/>
                <w:b/>
                <w:sz w:val="24"/>
                <w:szCs w:val="24"/>
              </w:rPr>
              <w:t>三级</w:t>
            </w:r>
          </w:p>
        </w:tc>
        <w:tc>
          <w:tcPr>
            <w:tcW w:w="1689" w:type="dxa"/>
            <w:vAlign w:val="center"/>
          </w:tcPr>
          <w:p>
            <w:pPr>
              <w:spacing w:line="276" w:lineRule="auto"/>
              <w:rPr>
                <w:rFonts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17" w:type="dxa"/>
            <w:vAlign w:val="center"/>
          </w:tcPr>
          <w:p>
            <w:pPr>
              <w:pStyle w:val="27"/>
              <w:spacing w:line="276" w:lineRule="auto"/>
              <w:jc w:val="center"/>
              <w:rPr>
                <w:rFonts w:cs="仿宋"/>
                <w:b/>
                <w:sz w:val="24"/>
                <w:szCs w:val="24"/>
                <w:lang w:val="en-US"/>
              </w:rPr>
            </w:pPr>
            <w:r>
              <w:rPr>
                <w:rFonts w:hint="eastAsia" w:cs="仿宋"/>
                <w:b/>
                <w:sz w:val="24"/>
                <w:szCs w:val="24"/>
                <w:lang w:val="en-US"/>
              </w:rPr>
              <w:t>22</w:t>
            </w:r>
          </w:p>
        </w:tc>
        <w:tc>
          <w:tcPr>
            <w:tcW w:w="4312" w:type="dxa"/>
            <w:vAlign w:val="center"/>
          </w:tcPr>
          <w:p>
            <w:pPr>
              <w:spacing w:line="276" w:lineRule="auto"/>
              <w:jc w:val="center"/>
              <w:rPr>
                <w:rFonts w:cs="仿宋"/>
                <w:b/>
                <w:sz w:val="24"/>
                <w:szCs w:val="24"/>
                <w:lang w:val="en-US"/>
              </w:rPr>
            </w:pPr>
            <w:r>
              <w:rPr>
                <w:rFonts w:hint="eastAsia" w:cs="仿宋"/>
                <w:b/>
                <w:sz w:val="24"/>
                <w:szCs w:val="24"/>
                <w:lang w:val="en-US"/>
              </w:rPr>
              <w:t>海门区可视化联动指挥平台</w:t>
            </w:r>
          </w:p>
        </w:tc>
        <w:tc>
          <w:tcPr>
            <w:tcW w:w="1493" w:type="dxa"/>
            <w:vAlign w:val="center"/>
          </w:tcPr>
          <w:p>
            <w:pPr>
              <w:spacing w:line="276" w:lineRule="auto"/>
              <w:jc w:val="center"/>
              <w:rPr>
                <w:rFonts w:cs="仿宋"/>
                <w:b/>
                <w:sz w:val="24"/>
                <w:szCs w:val="24"/>
                <w:lang w:val="en-US"/>
              </w:rPr>
            </w:pPr>
            <w:r>
              <w:rPr>
                <w:rFonts w:hint="eastAsia" w:cs="仿宋"/>
                <w:b/>
                <w:sz w:val="24"/>
                <w:szCs w:val="24"/>
                <w:lang w:val="en-US"/>
              </w:rPr>
              <w:t>1个</w:t>
            </w:r>
          </w:p>
        </w:tc>
        <w:tc>
          <w:tcPr>
            <w:tcW w:w="1245" w:type="dxa"/>
            <w:vAlign w:val="center"/>
          </w:tcPr>
          <w:p>
            <w:pPr>
              <w:spacing w:line="276" w:lineRule="auto"/>
              <w:jc w:val="center"/>
              <w:rPr>
                <w:rFonts w:cs="仿宋"/>
                <w:b/>
                <w:sz w:val="24"/>
                <w:szCs w:val="24"/>
                <w:lang w:val="en-US"/>
              </w:rPr>
            </w:pPr>
            <w:r>
              <w:rPr>
                <w:rFonts w:hint="eastAsia" w:cs="仿宋"/>
                <w:b/>
                <w:sz w:val="24"/>
                <w:szCs w:val="24"/>
                <w:lang w:val="en-US"/>
              </w:rPr>
              <w:t>三级</w:t>
            </w:r>
          </w:p>
        </w:tc>
        <w:tc>
          <w:tcPr>
            <w:tcW w:w="1689" w:type="dxa"/>
            <w:vAlign w:val="center"/>
          </w:tcPr>
          <w:p>
            <w:pPr>
              <w:spacing w:line="276" w:lineRule="auto"/>
              <w:rPr>
                <w:rFonts w:cs="仿宋"/>
                <w:b/>
                <w:sz w:val="24"/>
                <w:szCs w:val="24"/>
              </w:rPr>
            </w:pPr>
          </w:p>
        </w:tc>
      </w:tr>
    </w:tbl>
    <w:p>
      <w:pPr>
        <w:spacing w:line="360" w:lineRule="auto"/>
        <w:ind w:firstLine="562" w:firstLineChars="200"/>
        <w:jc w:val="center"/>
        <w:outlineLvl w:val="0"/>
        <w:rPr>
          <w:b/>
          <w:color w:val="000000"/>
          <w:sz w:val="28"/>
          <w:szCs w:val="28"/>
        </w:rPr>
      </w:pPr>
    </w:p>
    <w:p>
      <w:pPr>
        <w:spacing w:line="360" w:lineRule="auto"/>
        <w:rPr>
          <w:sz w:val="24"/>
          <w:szCs w:val="24"/>
        </w:rPr>
      </w:pPr>
      <w:r>
        <w:rPr>
          <w:rFonts w:hint="eastAsia"/>
          <w:sz w:val="24"/>
          <w:szCs w:val="24"/>
        </w:rPr>
        <w:t>三、测评内容：</w:t>
      </w:r>
    </w:p>
    <w:p>
      <w:pPr>
        <w:spacing w:line="360" w:lineRule="auto"/>
        <w:rPr>
          <w:sz w:val="24"/>
          <w:szCs w:val="24"/>
        </w:rPr>
      </w:pPr>
      <w:r>
        <w:rPr>
          <w:rFonts w:hint="eastAsia"/>
          <w:sz w:val="24"/>
          <w:szCs w:val="24"/>
        </w:rPr>
        <w:t>1、总体要求：</w:t>
      </w:r>
    </w:p>
    <w:p>
      <w:pPr>
        <w:spacing w:line="360" w:lineRule="auto"/>
        <w:rPr>
          <w:sz w:val="24"/>
          <w:szCs w:val="24"/>
        </w:rPr>
      </w:pPr>
      <w:r>
        <w:rPr>
          <w:rFonts w:hint="eastAsia"/>
          <w:sz w:val="24"/>
          <w:szCs w:val="24"/>
        </w:rPr>
        <w:t>A．完成上述系统安全等级测评工作，测评后经用户方确认，出具符合网络安全等级保护测评要求的测评报告；</w:t>
      </w:r>
    </w:p>
    <w:p>
      <w:pPr>
        <w:spacing w:line="360" w:lineRule="auto"/>
        <w:rPr>
          <w:sz w:val="24"/>
          <w:szCs w:val="24"/>
        </w:rPr>
      </w:pPr>
      <w:r>
        <w:rPr>
          <w:rFonts w:hint="eastAsia"/>
          <w:sz w:val="24"/>
          <w:szCs w:val="24"/>
        </w:rPr>
        <w:t>B．对上述系统不符合网络安全等级保护有关管理规范和技术标准的，提出可行性整改方案，提供相应的安全整改建议书。</w:t>
      </w:r>
    </w:p>
    <w:p>
      <w:pPr>
        <w:spacing w:line="360" w:lineRule="auto"/>
        <w:rPr>
          <w:sz w:val="24"/>
          <w:szCs w:val="24"/>
        </w:rPr>
      </w:pPr>
      <w:r>
        <w:rPr>
          <w:rFonts w:hint="eastAsia"/>
          <w:sz w:val="24"/>
          <w:szCs w:val="24"/>
        </w:rPr>
        <w:t>2、质量要求：</w:t>
      </w:r>
    </w:p>
    <w:p>
      <w:pPr>
        <w:spacing w:line="360" w:lineRule="auto"/>
        <w:rPr>
          <w:sz w:val="24"/>
          <w:szCs w:val="24"/>
        </w:rPr>
      </w:pPr>
      <w:r>
        <w:rPr>
          <w:rFonts w:hint="eastAsia"/>
          <w:sz w:val="24"/>
          <w:szCs w:val="24"/>
        </w:rPr>
        <w:t>A．等级测评及服务原则：符合性原则、标准性原则、规范性原则、可控性原则、整体性原则。</w:t>
      </w:r>
    </w:p>
    <w:p>
      <w:pPr>
        <w:spacing w:line="360" w:lineRule="auto"/>
        <w:rPr>
          <w:sz w:val="24"/>
          <w:szCs w:val="24"/>
        </w:rPr>
      </w:pPr>
      <w:r>
        <w:rPr>
          <w:rFonts w:hint="eastAsia"/>
          <w:sz w:val="24"/>
          <w:szCs w:val="24"/>
        </w:rPr>
        <w:t>B．网络安全等级保护定级及测评服务依据：</w:t>
      </w:r>
    </w:p>
    <w:p>
      <w:pPr>
        <w:spacing w:line="360" w:lineRule="auto"/>
        <w:rPr>
          <w:sz w:val="24"/>
          <w:szCs w:val="24"/>
        </w:rPr>
      </w:pPr>
      <w:r>
        <w:rPr>
          <w:rFonts w:hint="eastAsia"/>
          <w:sz w:val="24"/>
          <w:szCs w:val="24"/>
        </w:rPr>
        <w:t>《中华人民共和国网络安全法》</w:t>
      </w:r>
    </w:p>
    <w:p>
      <w:pPr>
        <w:spacing w:line="360" w:lineRule="auto"/>
        <w:rPr>
          <w:sz w:val="24"/>
          <w:szCs w:val="24"/>
        </w:rPr>
      </w:pPr>
      <w:r>
        <w:rPr>
          <w:rFonts w:hint="eastAsia"/>
          <w:sz w:val="24"/>
          <w:szCs w:val="24"/>
        </w:rPr>
        <w:t>《GB/T22239-2019信息安全技术 网络安全等级保护基本要求》，</w:t>
      </w:r>
    </w:p>
    <w:p>
      <w:pPr>
        <w:spacing w:line="360" w:lineRule="auto"/>
        <w:rPr>
          <w:sz w:val="24"/>
          <w:szCs w:val="24"/>
        </w:rPr>
      </w:pPr>
      <w:r>
        <w:rPr>
          <w:rFonts w:hint="eastAsia"/>
          <w:sz w:val="24"/>
          <w:szCs w:val="24"/>
        </w:rPr>
        <w:t>《GB/T28448-2019 信息安全技术 网络安全等级保护测评要求》，</w:t>
      </w:r>
    </w:p>
    <w:p>
      <w:pPr>
        <w:spacing w:line="360" w:lineRule="auto"/>
        <w:rPr>
          <w:sz w:val="24"/>
          <w:szCs w:val="24"/>
        </w:rPr>
      </w:pPr>
      <w:r>
        <w:rPr>
          <w:rFonts w:hint="eastAsia"/>
          <w:sz w:val="24"/>
          <w:szCs w:val="24"/>
        </w:rPr>
        <w:t>《GB/T 28449-2018 信息安全技术 网络安全等级保护测评过程指南》，</w:t>
      </w:r>
    </w:p>
    <w:p>
      <w:pPr>
        <w:spacing w:line="360" w:lineRule="auto"/>
        <w:rPr>
          <w:sz w:val="24"/>
          <w:szCs w:val="24"/>
        </w:rPr>
      </w:pPr>
      <w:r>
        <w:rPr>
          <w:rFonts w:hint="eastAsia"/>
          <w:sz w:val="24"/>
          <w:szCs w:val="24"/>
        </w:rPr>
        <w:t>《GB/T 25058-2019 信息安全技术 网络安全等级保护实施指南》。</w:t>
      </w:r>
    </w:p>
    <w:p>
      <w:pPr>
        <w:spacing w:line="360" w:lineRule="auto"/>
        <w:rPr>
          <w:sz w:val="24"/>
          <w:szCs w:val="24"/>
        </w:rPr>
      </w:pPr>
      <w:r>
        <w:rPr>
          <w:rFonts w:hint="eastAsia"/>
          <w:sz w:val="24"/>
          <w:szCs w:val="24"/>
        </w:rPr>
        <w:t>3、网络安全等级保护测评内容：</w:t>
      </w:r>
    </w:p>
    <w:p>
      <w:pPr>
        <w:spacing w:line="360" w:lineRule="auto"/>
        <w:rPr>
          <w:sz w:val="24"/>
          <w:szCs w:val="24"/>
        </w:rPr>
      </w:pPr>
      <w:r>
        <w:rPr>
          <w:rFonts w:hint="eastAsia"/>
          <w:sz w:val="24"/>
          <w:szCs w:val="24"/>
        </w:rPr>
        <w:t>A．安全技术测评：包括安全物理环境、安全区域边界、安全通信网络、安全计算环境和安全管理中心五个方面的安全测评；</w:t>
      </w:r>
    </w:p>
    <w:p>
      <w:pPr>
        <w:spacing w:line="360" w:lineRule="auto"/>
        <w:rPr>
          <w:sz w:val="24"/>
          <w:szCs w:val="24"/>
        </w:rPr>
      </w:pPr>
      <w:r>
        <w:rPr>
          <w:rFonts w:hint="eastAsia"/>
          <w:sz w:val="24"/>
          <w:szCs w:val="24"/>
        </w:rPr>
        <w:t>B．安全管理测评：安全管理机构、安全管理制度、安全管理人员、安全建设管理和安全运维管理五个方面的安全控制测评</w:t>
      </w:r>
    </w:p>
    <w:p>
      <w:pPr>
        <w:spacing w:line="360" w:lineRule="auto"/>
        <w:rPr>
          <w:sz w:val="24"/>
          <w:szCs w:val="24"/>
        </w:rPr>
      </w:pPr>
      <w:r>
        <w:rPr>
          <w:rFonts w:hint="eastAsia"/>
          <w:sz w:val="24"/>
          <w:szCs w:val="24"/>
        </w:rPr>
        <w:t>4、提供整改咨询服务，根据所测系统的最终测评报告，对系统现状提出安全整改建议并协助整改工作，以期达到整改目的。</w:t>
      </w:r>
    </w:p>
    <w:p>
      <w:pPr>
        <w:spacing w:line="360" w:lineRule="auto"/>
        <w:rPr>
          <w:sz w:val="24"/>
          <w:szCs w:val="24"/>
        </w:rPr>
      </w:pPr>
      <w:r>
        <w:rPr>
          <w:rFonts w:hint="eastAsia"/>
          <w:sz w:val="24"/>
          <w:szCs w:val="24"/>
        </w:rPr>
        <w:t>四、测评原则：</w:t>
      </w:r>
    </w:p>
    <w:p>
      <w:pPr>
        <w:spacing w:line="360" w:lineRule="auto"/>
        <w:rPr>
          <w:sz w:val="24"/>
          <w:szCs w:val="24"/>
        </w:rPr>
      </w:pPr>
      <w:r>
        <w:rPr>
          <w:rFonts w:hint="eastAsia"/>
          <w:sz w:val="24"/>
          <w:szCs w:val="24"/>
        </w:rPr>
        <w:t>1、客观性和公正性原则：</w:t>
      </w:r>
    </w:p>
    <w:p>
      <w:pPr>
        <w:spacing w:line="360" w:lineRule="auto"/>
        <w:rPr>
          <w:sz w:val="24"/>
          <w:szCs w:val="24"/>
        </w:rPr>
      </w:pPr>
      <w:r>
        <w:rPr>
          <w:rFonts w:hint="eastAsia"/>
          <w:sz w:val="24"/>
          <w:szCs w:val="24"/>
        </w:rPr>
        <w:t>测评人员应当没有偏见，在最小主观判断情形下，按照评估双方相互认可的评估方案，基于明确定义的测评方式和解释，实施评估活动。</w:t>
      </w:r>
    </w:p>
    <w:p>
      <w:pPr>
        <w:spacing w:line="360" w:lineRule="auto"/>
        <w:rPr>
          <w:sz w:val="24"/>
          <w:szCs w:val="24"/>
        </w:rPr>
      </w:pPr>
      <w:r>
        <w:rPr>
          <w:rFonts w:hint="eastAsia"/>
          <w:sz w:val="24"/>
          <w:szCs w:val="24"/>
        </w:rPr>
        <w:t>2、可重复性和可再现性原则：</w:t>
      </w:r>
    </w:p>
    <w:p>
      <w:pPr>
        <w:spacing w:line="360" w:lineRule="auto"/>
        <w:rPr>
          <w:sz w:val="24"/>
          <w:szCs w:val="24"/>
        </w:rPr>
      </w:pPr>
      <w:r>
        <w:rPr>
          <w:rFonts w:hint="eastAsia"/>
          <w:sz w:val="24"/>
          <w:szCs w:val="24"/>
        </w:rPr>
        <w:t>依照同样的要求，使用同样的评估方式，对每个评估实施过程的重复执行应该得到同样的结果。可再现性和可重复性的区别在于，前者与不同评估者评估结果的一致性有关，后者与同一评估者评估结果的一致性有关。</w:t>
      </w:r>
    </w:p>
    <w:p>
      <w:pPr>
        <w:spacing w:line="360" w:lineRule="auto"/>
        <w:rPr>
          <w:sz w:val="24"/>
          <w:szCs w:val="24"/>
        </w:rPr>
      </w:pPr>
      <w:r>
        <w:rPr>
          <w:rFonts w:hint="eastAsia"/>
          <w:sz w:val="24"/>
          <w:szCs w:val="24"/>
        </w:rPr>
        <w:t>3、连续性原则：</w:t>
      </w:r>
    </w:p>
    <w:p>
      <w:pPr>
        <w:spacing w:line="360" w:lineRule="auto"/>
        <w:rPr>
          <w:sz w:val="24"/>
          <w:szCs w:val="24"/>
        </w:rPr>
      </w:pPr>
      <w:r>
        <w:rPr>
          <w:rFonts w:hint="eastAsia"/>
          <w:sz w:val="24"/>
          <w:szCs w:val="24"/>
        </w:rPr>
        <w:t>确保在高速变化的信息安全环境中，在有效的服务期间内，保证采购方风险评估结论的准确性和及时性，对于采购方单位新增设的信息资产和服务，或新建立的信息化项目，进行局部系统的重新评估。从经济上，降低了采购方单位的成本，从信息安全性上，保证信息安全测评的动态稳定性。</w:t>
      </w:r>
    </w:p>
    <w:p>
      <w:pPr>
        <w:spacing w:line="360" w:lineRule="auto"/>
        <w:rPr>
          <w:sz w:val="24"/>
          <w:szCs w:val="24"/>
        </w:rPr>
      </w:pPr>
      <w:r>
        <w:rPr>
          <w:rFonts w:hint="eastAsia"/>
          <w:sz w:val="24"/>
          <w:szCs w:val="24"/>
        </w:rPr>
        <w:t>4、扩展性原则：</w:t>
      </w:r>
    </w:p>
    <w:p>
      <w:pPr>
        <w:spacing w:line="360" w:lineRule="auto"/>
        <w:rPr>
          <w:sz w:val="24"/>
          <w:szCs w:val="24"/>
        </w:rPr>
      </w:pPr>
      <w:r>
        <w:rPr>
          <w:rFonts w:hint="eastAsia"/>
          <w:sz w:val="24"/>
          <w:szCs w:val="24"/>
        </w:rPr>
        <w:t>在评估过程结束后，信息安全测评过程要保持扩展性，从扩展的属性上进一步加强测评结束后采购方的安全管理有效性和可用性。</w:t>
      </w:r>
    </w:p>
    <w:p>
      <w:pPr>
        <w:spacing w:line="360" w:lineRule="auto"/>
        <w:rPr>
          <w:sz w:val="24"/>
          <w:szCs w:val="24"/>
        </w:rPr>
      </w:pPr>
      <w:r>
        <w:rPr>
          <w:rFonts w:hint="eastAsia"/>
          <w:sz w:val="24"/>
          <w:szCs w:val="24"/>
        </w:rPr>
        <w:t>5、保密原则：</w:t>
      </w:r>
    </w:p>
    <w:p>
      <w:pPr>
        <w:spacing w:line="360" w:lineRule="auto"/>
        <w:rPr>
          <w:sz w:val="24"/>
          <w:szCs w:val="24"/>
        </w:rPr>
      </w:pPr>
      <w:r>
        <w:rPr>
          <w:rFonts w:hint="eastAsia"/>
          <w:sz w:val="24"/>
          <w:szCs w:val="24"/>
        </w:rPr>
        <w:t>在测评过程中，需严格遵循保密原则，双方签订保密协议，对服务过程中涉及到的任何用户信息未经允许不向其他任何第三方泄漏，以及不得利用这些信息损害采购方利益。</w:t>
      </w:r>
    </w:p>
    <w:p>
      <w:pPr>
        <w:spacing w:line="360" w:lineRule="auto"/>
        <w:rPr>
          <w:sz w:val="24"/>
          <w:szCs w:val="24"/>
        </w:rPr>
      </w:pPr>
      <w:r>
        <w:rPr>
          <w:rFonts w:hint="eastAsia"/>
          <w:sz w:val="24"/>
          <w:szCs w:val="24"/>
        </w:rPr>
        <w:t>6、互动原则：</w:t>
      </w:r>
    </w:p>
    <w:p>
      <w:pPr>
        <w:spacing w:line="360" w:lineRule="auto"/>
        <w:rPr>
          <w:sz w:val="24"/>
          <w:szCs w:val="24"/>
        </w:rPr>
      </w:pPr>
      <w:r>
        <w:rPr>
          <w:rFonts w:hint="eastAsia"/>
          <w:sz w:val="24"/>
          <w:szCs w:val="24"/>
        </w:rPr>
        <w:t>在整个测评过程中，强调采购方的互动参与，每个阶段都能够及时根据采购方的要求和实际情况对测评的内容、方式做出相关调整，进而更好的进行风险评估工作。</w:t>
      </w:r>
    </w:p>
    <w:p>
      <w:pPr>
        <w:spacing w:line="360" w:lineRule="auto"/>
        <w:rPr>
          <w:sz w:val="24"/>
          <w:szCs w:val="24"/>
        </w:rPr>
      </w:pPr>
      <w:r>
        <w:rPr>
          <w:rFonts w:hint="eastAsia"/>
          <w:sz w:val="24"/>
          <w:szCs w:val="24"/>
        </w:rPr>
        <w:t>7、最小影响原则：</w:t>
      </w:r>
    </w:p>
    <w:p>
      <w:pPr>
        <w:spacing w:line="360" w:lineRule="auto"/>
        <w:rPr>
          <w:sz w:val="24"/>
          <w:szCs w:val="24"/>
        </w:rPr>
      </w:pPr>
      <w:r>
        <w:rPr>
          <w:rFonts w:hint="eastAsia"/>
          <w:sz w:val="24"/>
          <w:szCs w:val="24"/>
        </w:rPr>
        <w:t>测评工作应该尽可能小地影响系统和网络的正常运行，不能对业务的正常运行产生明显的影响（包括系统性能明显下降、网络阻塞、服务中断等），如无法避免，则应做出说明。</w:t>
      </w:r>
    </w:p>
    <w:p>
      <w:pPr>
        <w:spacing w:line="360" w:lineRule="auto"/>
        <w:rPr>
          <w:sz w:val="24"/>
          <w:szCs w:val="24"/>
        </w:rPr>
      </w:pPr>
      <w:r>
        <w:rPr>
          <w:rFonts w:hint="eastAsia"/>
          <w:sz w:val="24"/>
          <w:szCs w:val="24"/>
        </w:rPr>
        <w:t>8、规范性原则：</w:t>
      </w:r>
    </w:p>
    <w:p>
      <w:pPr>
        <w:spacing w:line="360" w:lineRule="auto"/>
        <w:rPr>
          <w:sz w:val="24"/>
          <w:szCs w:val="24"/>
        </w:rPr>
      </w:pPr>
      <w:r>
        <w:rPr>
          <w:rFonts w:hint="eastAsia"/>
          <w:sz w:val="24"/>
          <w:szCs w:val="24"/>
        </w:rPr>
        <w:t>网络安全等级保护测评服务的实施必须由专业的测评服务人员依照规范的操作流程进行，对操作过程和结果要有相应的记录，并提供完整的服务报告。</w:t>
      </w:r>
    </w:p>
    <w:p>
      <w:pPr>
        <w:spacing w:line="360" w:lineRule="auto"/>
        <w:rPr>
          <w:sz w:val="24"/>
          <w:szCs w:val="24"/>
        </w:rPr>
      </w:pPr>
      <w:r>
        <w:rPr>
          <w:rFonts w:hint="eastAsia"/>
          <w:sz w:val="24"/>
          <w:szCs w:val="24"/>
        </w:rPr>
        <w:t>9、质量保障原则：</w:t>
      </w:r>
    </w:p>
    <w:p>
      <w:pPr>
        <w:spacing w:line="360" w:lineRule="auto"/>
        <w:rPr>
          <w:sz w:val="24"/>
          <w:szCs w:val="24"/>
        </w:rPr>
      </w:pPr>
      <w:r>
        <w:rPr>
          <w:rFonts w:hint="eastAsia"/>
          <w:sz w:val="24"/>
          <w:szCs w:val="24"/>
        </w:rPr>
        <w:t>在整个测评过程中，须特别重视项目质量管理。项目的实施将严格按照项目实施方案和流程进行，并由项目协调小组从中监督，控制项目的进度和质量。</w:t>
      </w:r>
    </w:p>
    <w:p>
      <w:pPr>
        <w:spacing w:line="360" w:lineRule="auto"/>
        <w:ind w:firstLine="562" w:firstLineChars="200"/>
        <w:jc w:val="center"/>
        <w:outlineLvl w:val="0"/>
        <w:rPr>
          <w:b/>
          <w:bCs/>
          <w:sz w:val="24"/>
          <w:szCs w:val="24"/>
        </w:rPr>
      </w:pPr>
      <w:r>
        <w:rPr>
          <w:rFonts w:hint="eastAsia"/>
          <w:b/>
          <w:color w:val="000000"/>
          <w:sz w:val="28"/>
          <w:szCs w:val="28"/>
        </w:rPr>
        <w:t>第二章 采购项目商务要求</w:t>
      </w:r>
    </w:p>
    <w:p>
      <w:pPr>
        <w:spacing w:line="360" w:lineRule="auto"/>
        <w:outlineLvl w:val="0"/>
        <w:rPr>
          <w:b/>
          <w:bCs/>
          <w:sz w:val="24"/>
          <w:szCs w:val="24"/>
        </w:rPr>
      </w:pPr>
      <w:r>
        <w:rPr>
          <w:rFonts w:hint="eastAsia"/>
          <w:b/>
          <w:bCs/>
          <w:sz w:val="24"/>
          <w:szCs w:val="24"/>
        </w:rPr>
        <w:t>一、测评时间要求及地点;</w:t>
      </w:r>
    </w:p>
    <w:p>
      <w:pPr>
        <w:adjustRightInd w:val="0"/>
        <w:spacing w:line="360" w:lineRule="auto"/>
        <w:ind w:firstLine="480" w:firstLineChars="200"/>
        <w:rPr>
          <w:sz w:val="24"/>
          <w:szCs w:val="24"/>
        </w:rPr>
      </w:pPr>
      <w:r>
        <w:rPr>
          <w:rFonts w:hint="eastAsia"/>
          <w:sz w:val="24"/>
          <w:szCs w:val="24"/>
        </w:rPr>
        <w:t>1、测评时间要求：按照被测单位要求，合同签订完毕一周内启动测评工作。</w:t>
      </w:r>
    </w:p>
    <w:p>
      <w:pPr>
        <w:adjustRightInd w:val="0"/>
        <w:spacing w:line="360" w:lineRule="auto"/>
        <w:ind w:firstLine="480" w:firstLineChars="200"/>
        <w:rPr>
          <w:sz w:val="24"/>
          <w:szCs w:val="24"/>
        </w:rPr>
      </w:pPr>
      <w:r>
        <w:rPr>
          <w:rFonts w:hint="eastAsia"/>
          <w:sz w:val="24"/>
          <w:szCs w:val="24"/>
        </w:rPr>
        <w:t>2、测评期限要求：签订合同后60天内完成网络安全等级保护测评并出具盖章报告，并完成备案。</w:t>
      </w:r>
    </w:p>
    <w:p>
      <w:pPr>
        <w:adjustRightInd w:val="0"/>
        <w:spacing w:line="360" w:lineRule="auto"/>
        <w:ind w:firstLine="480" w:firstLineChars="200"/>
        <w:rPr>
          <w:sz w:val="24"/>
          <w:szCs w:val="24"/>
        </w:rPr>
      </w:pPr>
      <w:r>
        <w:rPr>
          <w:rFonts w:hint="eastAsia"/>
          <w:sz w:val="24"/>
          <w:szCs w:val="24"/>
        </w:rPr>
        <w:t>3、服务地点：采购方指定地点。</w:t>
      </w:r>
    </w:p>
    <w:p>
      <w:pPr>
        <w:spacing w:line="360" w:lineRule="auto"/>
        <w:rPr>
          <w:b/>
          <w:sz w:val="24"/>
          <w:szCs w:val="24"/>
        </w:rPr>
      </w:pPr>
      <w:r>
        <w:rPr>
          <w:rFonts w:hint="eastAsia"/>
          <w:b/>
          <w:sz w:val="24"/>
          <w:szCs w:val="24"/>
        </w:rPr>
        <w:t>二、付款方式：</w:t>
      </w:r>
      <w:bookmarkStart w:id="0" w:name="_Hlk77754165"/>
      <w:r>
        <w:rPr>
          <w:rFonts w:hint="eastAsia"/>
          <w:b/>
          <w:sz w:val="24"/>
          <w:szCs w:val="24"/>
        </w:rPr>
        <w:t>本项目的测评费用,在项目测评团队进场</w:t>
      </w:r>
      <w:r>
        <w:rPr>
          <w:b/>
          <w:sz w:val="24"/>
          <w:szCs w:val="24"/>
        </w:rPr>
        <w:t>10</w:t>
      </w:r>
      <w:r>
        <w:rPr>
          <w:rFonts w:hint="eastAsia"/>
          <w:b/>
          <w:sz w:val="24"/>
          <w:szCs w:val="24"/>
        </w:rPr>
        <w:t>个工作日内，由采购方一次性付清全款。</w:t>
      </w:r>
    </w:p>
    <w:p>
      <w:pPr>
        <w:pStyle w:val="4"/>
        <w:spacing w:line="360" w:lineRule="auto"/>
        <w:ind w:firstLine="0"/>
        <w:rPr>
          <w:b/>
          <w:bCs/>
          <w:sz w:val="24"/>
          <w:szCs w:val="24"/>
        </w:rPr>
      </w:pPr>
      <w:r>
        <w:rPr>
          <w:rFonts w:hint="eastAsia"/>
          <w:b/>
          <w:bCs/>
          <w:sz w:val="24"/>
          <w:szCs w:val="24"/>
        </w:rPr>
        <w:t>三、测评人员要求：</w:t>
      </w:r>
    </w:p>
    <w:p>
      <w:pPr>
        <w:pStyle w:val="4"/>
        <w:spacing w:line="360" w:lineRule="auto"/>
        <w:ind w:firstLine="480" w:firstLineChars="200"/>
        <w:rPr>
          <w:rFonts w:asciiTheme="minorEastAsia" w:hAnsiTheme="minorEastAsia" w:eastAsiaTheme="minorEastAsia"/>
          <w:bCs/>
          <w:color w:val="000000"/>
          <w:sz w:val="28"/>
          <w:szCs w:val="28"/>
        </w:rPr>
      </w:pPr>
      <w:r>
        <w:rPr>
          <w:rFonts w:hint="eastAsia"/>
          <w:sz w:val="24"/>
          <w:szCs w:val="24"/>
        </w:rPr>
        <w:t>测评驻场人员要求：本次测评至少需要1名高级测评师，1名中级测评师，2名初级测评师。本次等保测评项目不得转包或者分包，所有驻场测评师必须是中标公司自己的正式员工,所有驻场测评师必须持证上岗，响应文件中应提供项目组成员名单、社保主管部门出具的响应单位为其缴纳社保的证明、相关证书复印件等，未经采购方同意，项目组成员不得更改。</w:t>
      </w:r>
      <w:bookmarkEnd w:id="0"/>
    </w:p>
    <w:p>
      <w:pPr>
        <w:adjustRightInd w:val="0"/>
        <w:snapToGrid w:val="0"/>
        <w:spacing w:line="300" w:lineRule="auto"/>
        <w:jc w:val="both"/>
        <w:rPr>
          <w:rFonts w:asciiTheme="minorEastAsia" w:hAnsiTheme="minorEastAsia" w:eastAsiaTheme="minorEastAsia"/>
          <w:b/>
          <w:sz w:val="24"/>
          <w:szCs w:val="24"/>
        </w:rPr>
      </w:pPr>
      <w:r>
        <w:rPr>
          <w:rFonts w:hint="eastAsia" w:asciiTheme="minorEastAsia" w:hAnsiTheme="minorEastAsia" w:eastAsiaTheme="minorEastAsia"/>
          <w:b/>
          <w:sz w:val="24"/>
          <w:szCs w:val="24"/>
          <w:lang w:val="en-US"/>
        </w:rPr>
        <w:t>四、</w:t>
      </w:r>
      <w:r>
        <w:rPr>
          <w:rFonts w:asciiTheme="minorEastAsia" w:hAnsiTheme="minorEastAsia" w:eastAsiaTheme="minorEastAsia"/>
          <w:b/>
          <w:sz w:val="24"/>
          <w:szCs w:val="24"/>
        </w:rPr>
        <w:t>其它相关说明：</w:t>
      </w:r>
    </w:p>
    <w:p>
      <w:pPr>
        <w:tabs>
          <w:tab w:val="left" w:pos="360"/>
        </w:tabs>
        <w:spacing w:line="360" w:lineRule="auto"/>
        <w:ind w:firstLine="480" w:firstLineChars="200"/>
        <w:jc w:val="both"/>
        <w:rPr>
          <w:rFonts w:asciiTheme="minorEastAsia" w:hAnsiTheme="minorEastAsia" w:eastAsiaTheme="minorEastAsia"/>
          <w:bCs/>
          <w:sz w:val="24"/>
          <w:lang w:val="en-US"/>
        </w:rPr>
      </w:pPr>
      <w:r>
        <w:rPr>
          <w:rFonts w:hint="eastAsia" w:asciiTheme="minorEastAsia" w:hAnsiTheme="minorEastAsia" w:eastAsiaTheme="minorEastAsia"/>
          <w:bCs/>
          <w:sz w:val="24"/>
          <w:lang w:val="en-US"/>
        </w:rPr>
        <w:t>1、本项目投标有效期为开标后60天。</w:t>
      </w:r>
    </w:p>
    <w:p>
      <w:pPr>
        <w:tabs>
          <w:tab w:val="left" w:pos="360"/>
        </w:tabs>
        <w:spacing w:line="360" w:lineRule="auto"/>
        <w:ind w:firstLine="480" w:firstLineChars="200"/>
        <w:jc w:val="both"/>
        <w:rPr>
          <w:rFonts w:asciiTheme="minorEastAsia" w:hAnsiTheme="minorEastAsia" w:eastAsiaTheme="minorEastAsia"/>
          <w:bCs/>
          <w:sz w:val="24"/>
          <w:lang w:val="en-US"/>
        </w:rPr>
      </w:pPr>
      <w:r>
        <w:rPr>
          <w:rFonts w:hint="eastAsia" w:asciiTheme="minorEastAsia" w:hAnsiTheme="minorEastAsia" w:eastAsiaTheme="minorEastAsia"/>
          <w:bCs/>
          <w:sz w:val="24"/>
          <w:lang w:val="en-US"/>
        </w:rPr>
        <w:t>2、无论投标结果如何，投标供应商自行承担与投标响应有关的全部费用。</w:t>
      </w:r>
    </w:p>
    <w:p>
      <w:pPr>
        <w:tabs>
          <w:tab w:val="left" w:pos="360"/>
        </w:tabs>
        <w:spacing w:line="360" w:lineRule="auto"/>
        <w:ind w:firstLine="482" w:firstLineChars="200"/>
        <w:jc w:val="both"/>
        <w:rPr>
          <w:rFonts w:asciiTheme="minorEastAsia" w:hAnsiTheme="minorEastAsia" w:eastAsiaTheme="minorEastAsia"/>
          <w:b/>
          <w:bCs/>
          <w:sz w:val="24"/>
          <w:lang w:val="en-US"/>
        </w:rPr>
      </w:pPr>
      <w:r>
        <w:rPr>
          <w:rFonts w:hint="eastAsia" w:asciiTheme="minorEastAsia" w:hAnsiTheme="minorEastAsia" w:eastAsiaTheme="minorEastAsia"/>
          <w:b/>
          <w:bCs/>
          <w:sz w:val="24"/>
          <w:lang w:val="en-US"/>
        </w:rPr>
        <w:t>3、本项目采购代理服务费3000元由成交供应商承担，请参加磋商响应的供应商在成本中自行考虑，开标结束后中标供应商直接支付给招标代理机构。</w:t>
      </w:r>
    </w:p>
    <w:p>
      <w:pPr>
        <w:snapToGrid w:val="0"/>
        <w:spacing w:line="420" w:lineRule="exact"/>
        <w:ind w:firstLine="453" w:firstLineChars="206"/>
        <w:rPr>
          <w:lang w:val="en-US"/>
        </w:rPr>
      </w:pPr>
    </w:p>
    <w:p>
      <w:pPr>
        <w:pStyle w:val="4"/>
        <w:ind w:firstLine="0"/>
        <w:rPr>
          <w:rFonts w:asciiTheme="minorEastAsia" w:hAnsiTheme="minorEastAsia" w:eastAsiaTheme="minorEastAsia"/>
          <w:bCs/>
          <w:sz w:val="24"/>
          <w:lang w:val="en-US"/>
        </w:rPr>
      </w:pPr>
    </w:p>
    <w:p>
      <w:pPr>
        <w:numPr>
          <w:ilvl w:val="0"/>
          <w:numId w:val="1"/>
        </w:numPr>
        <w:spacing w:before="42"/>
        <w:ind w:left="9"/>
        <w:jc w:val="center"/>
        <w:rPr>
          <w:rFonts w:asciiTheme="minorEastAsia" w:hAnsiTheme="minorEastAsia" w:eastAsiaTheme="minorEastAsia"/>
          <w:b/>
          <w:sz w:val="44"/>
        </w:rPr>
      </w:pPr>
      <w:r>
        <w:rPr>
          <w:rFonts w:asciiTheme="minorEastAsia" w:hAnsiTheme="minorEastAsia" w:eastAsiaTheme="minorEastAsia"/>
          <w:b/>
          <w:sz w:val="44"/>
        </w:rPr>
        <w:t>投标人须知</w:t>
      </w:r>
    </w:p>
    <w:p>
      <w:pPr>
        <w:spacing w:before="42"/>
        <w:ind w:left="9" w:firstLine="281" w:firstLineChars="100"/>
        <w:jc w:val="center"/>
        <w:rPr>
          <w:rFonts w:asciiTheme="minorEastAsia" w:hAnsiTheme="minorEastAsia" w:eastAsiaTheme="minorEastAsia"/>
          <w:b/>
          <w:sz w:val="28"/>
        </w:rPr>
      </w:pPr>
      <w:r>
        <w:rPr>
          <w:rFonts w:hint="eastAsia" w:asciiTheme="minorEastAsia" w:hAnsiTheme="minorEastAsia" w:eastAsiaTheme="minorEastAsia"/>
          <w:b/>
          <w:sz w:val="28"/>
        </w:rPr>
        <w:t>一、招标采购文件说明</w:t>
      </w:r>
    </w:p>
    <w:p>
      <w:pPr>
        <w:pStyle w:val="11"/>
        <w:spacing w:before="192"/>
        <w:ind w:left="532"/>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w:t>
      </w:r>
      <w:r>
        <w:rPr>
          <w:rFonts w:asciiTheme="minorEastAsia" w:hAnsiTheme="minorEastAsia" w:eastAsiaTheme="minorEastAsia"/>
          <w:sz w:val="24"/>
          <w:szCs w:val="24"/>
        </w:rPr>
        <w:t>招标采购文件由招标方负责解释。</w:t>
      </w:r>
    </w:p>
    <w:p>
      <w:pPr>
        <w:pStyle w:val="11"/>
        <w:tabs>
          <w:tab w:val="left" w:pos="1689"/>
        </w:tabs>
        <w:spacing w:before="91" w:line="321" w:lineRule="auto"/>
        <w:ind w:left="532" w:right="6485"/>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w:t>
      </w:r>
      <w:r>
        <w:rPr>
          <w:rFonts w:asciiTheme="minorEastAsia" w:hAnsiTheme="minorEastAsia" w:eastAsiaTheme="minorEastAsia"/>
          <w:spacing w:val="-3"/>
          <w:sz w:val="24"/>
          <w:szCs w:val="24"/>
        </w:rPr>
        <w:t>招</w:t>
      </w:r>
      <w:r>
        <w:rPr>
          <w:rFonts w:asciiTheme="minorEastAsia" w:hAnsiTheme="minorEastAsia" w:eastAsiaTheme="minorEastAsia"/>
          <w:sz w:val="24"/>
          <w:szCs w:val="24"/>
        </w:rPr>
        <w:t>标</w:t>
      </w:r>
      <w:r>
        <w:rPr>
          <w:rFonts w:asciiTheme="minorEastAsia" w:hAnsiTheme="minorEastAsia" w:eastAsiaTheme="minorEastAsia"/>
          <w:spacing w:val="-3"/>
          <w:sz w:val="24"/>
          <w:szCs w:val="24"/>
        </w:rPr>
        <w:t>采</w:t>
      </w:r>
      <w:r>
        <w:rPr>
          <w:rFonts w:asciiTheme="minorEastAsia" w:hAnsiTheme="minorEastAsia" w:eastAsiaTheme="minorEastAsia"/>
          <w:sz w:val="24"/>
          <w:szCs w:val="24"/>
        </w:rPr>
        <w:t>购</w:t>
      </w:r>
      <w:r>
        <w:rPr>
          <w:rFonts w:asciiTheme="minorEastAsia" w:hAnsiTheme="minorEastAsia" w:eastAsiaTheme="minorEastAsia"/>
          <w:spacing w:val="-3"/>
          <w:sz w:val="24"/>
          <w:szCs w:val="24"/>
        </w:rPr>
        <w:t>文</w:t>
      </w:r>
      <w:r>
        <w:rPr>
          <w:rFonts w:asciiTheme="minorEastAsia" w:hAnsiTheme="minorEastAsia" w:eastAsiaTheme="minorEastAsia"/>
          <w:sz w:val="24"/>
          <w:szCs w:val="24"/>
        </w:rPr>
        <w:t>件</w:t>
      </w:r>
      <w:r>
        <w:rPr>
          <w:rFonts w:asciiTheme="minorEastAsia" w:hAnsiTheme="minorEastAsia" w:eastAsiaTheme="minorEastAsia"/>
          <w:spacing w:val="-3"/>
          <w:sz w:val="24"/>
          <w:szCs w:val="24"/>
        </w:rPr>
        <w:t>由</w:t>
      </w:r>
      <w:r>
        <w:rPr>
          <w:rFonts w:asciiTheme="minorEastAsia" w:hAnsiTheme="minorEastAsia" w:eastAsiaTheme="minorEastAsia"/>
          <w:sz w:val="24"/>
          <w:szCs w:val="24"/>
        </w:rPr>
        <w:t>下</w:t>
      </w:r>
      <w:r>
        <w:rPr>
          <w:rFonts w:asciiTheme="minorEastAsia" w:hAnsiTheme="minorEastAsia" w:eastAsiaTheme="minorEastAsia"/>
          <w:spacing w:val="-3"/>
          <w:sz w:val="24"/>
          <w:szCs w:val="24"/>
        </w:rPr>
        <w:t>述</w:t>
      </w:r>
      <w:r>
        <w:rPr>
          <w:rFonts w:asciiTheme="minorEastAsia" w:hAnsiTheme="minorEastAsia" w:eastAsiaTheme="minorEastAsia"/>
          <w:sz w:val="24"/>
          <w:szCs w:val="24"/>
        </w:rPr>
        <w:t>部分</w:t>
      </w:r>
      <w:r>
        <w:rPr>
          <w:rFonts w:asciiTheme="minorEastAsia" w:hAnsiTheme="minorEastAsia" w:eastAsiaTheme="minorEastAsia"/>
          <w:spacing w:val="-3"/>
          <w:sz w:val="24"/>
          <w:szCs w:val="24"/>
        </w:rPr>
        <w:t>组</w:t>
      </w:r>
      <w:r>
        <w:rPr>
          <w:rFonts w:asciiTheme="minorEastAsia" w:hAnsiTheme="minorEastAsia" w:eastAsiaTheme="minorEastAsia"/>
          <w:sz w:val="24"/>
          <w:szCs w:val="24"/>
        </w:rPr>
        <w:t>成</w:t>
      </w:r>
      <w:r>
        <w:rPr>
          <w:rFonts w:asciiTheme="minorEastAsia" w:hAnsiTheme="minorEastAsia" w:eastAsiaTheme="minorEastAsia"/>
          <w:spacing w:val="-12"/>
          <w:sz w:val="24"/>
          <w:szCs w:val="24"/>
        </w:rPr>
        <w:t xml:space="preserve">： </w:t>
      </w:r>
      <w:r>
        <w:rPr>
          <w:rFonts w:asciiTheme="minorEastAsia" w:hAnsiTheme="minorEastAsia" w:eastAsiaTheme="minorEastAsia"/>
          <w:sz w:val="24"/>
          <w:szCs w:val="24"/>
        </w:rPr>
        <w:t>第一</w:t>
      </w:r>
      <w:r>
        <w:rPr>
          <w:rFonts w:asciiTheme="minorEastAsia" w:hAnsiTheme="minorEastAsia" w:eastAsiaTheme="minorEastAsia"/>
          <w:spacing w:val="-3"/>
          <w:sz w:val="24"/>
          <w:szCs w:val="24"/>
        </w:rPr>
        <w:t>部</w:t>
      </w:r>
      <w:r>
        <w:rPr>
          <w:rFonts w:asciiTheme="minorEastAsia" w:hAnsiTheme="minorEastAsia" w:eastAsiaTheme="minorEastAsia"/>
          <w:sz w:val="24"/>
          <w:szCs w:val="24"/>
        </w:rPr>
        <w:t>分</w:t>
      </w:r>
      <w:r>
        <w:rPr>
          <w:rFonts w:asciiTheme="minorEastAsia" w:hAnsiTheme="minorEastAsia" w:eastAsiaTheme="minorEastAsia"/>
          <w:sz w:val="24"/>
          <w:szCs w:val="24"/>
        </w:rPr>
        <w:tab/>
      </w:r>
      <w:r>
        <w:rPr>
          <w:rFonts w:asciiTheme="minorEastAsia" w:hAnsiTheme="minorEastAsia" w:eastAsiaTheme="minorEastAsia"/>
          <w:spacing w:val="-3"/>
          <w:sz w:val="24"/>
          <w:szCs w:val="24"/>
        </w:rPr>
        <w:t>招</w:t>
      </w:r>
      <w:r>
        <w:rPr>
          <w:rFonts w:asciiTheme="minorEastAsia" w:hAnsiTheme="minorEastAsia" w:eastAsiaTheme="minorEastAsia"/>
          <w:sz w:val="24"/>
          <w:szCs w:val="24"/>
        </w:rPr>
        <w:t>标</w:t>
      </w:r>
      <w:r>
        <w:rPr>
          <w:rFonts w:asciiTheme="minorEastAsia" w:hAnsiTheme="minorEastAsia" w:eastAsiaTheme="minorEastAsia"/>
          <w:spacing w:val="-3"/>
          <w:sz w:val="24"/>
          <w:szCs w:val="24"/>
        </w:rPr>
        <w:t>公</w:t>
      </w:r>
      <w:r>
        <w:rPr>
          <w:rFonts w:asciiTheme="minorEastAsia" w:hAnsiTheme="minorEastAsia" w:eastAsiaTheme="minorEastAsia"/>
          <w:sz w:val="24"/>
          <w:szCs w:val="24"/>
        </w:rPr>
        <w:t>告</w:t>
      </w:r>
    </w:p>
    <w:p>
      <w:pPr>
        <w:pStyle w:val="11"/>
        <w:spacing w:line="321" w:lineRule="auto"/>
        <w:ind w:left="532" w:right="7434"/>
        <w:rPr>
          <w:rFonts w:asciiTheme="minorEastAsia" w:hAnsiTheme="minorEastAsia" w:eastAsiaTheme="minorEastAsia"/>
          <w:sz w:val="24"/>
          <w:szCs w:val="24"/>
        </w:rPr>
      </w:pPr>
      <w:r>
        <w:rPr>
          <w:rFonts w:asciiTheme="minorEastAsia" w:hAnsiTheme="minorEastAsia" w:eastAsiaTheme="minorEastAsia"/>
          <w:sz w:val="24"/>
          <w:szCs w:val="24"/>
        </w:rPr>
        <w:t>第二</w:t>
      </w:r>
      <w:r>
        <w:rPr>
          <w:rFonts w:asciiTheme="minorEastAsia" w:hAnsiTheme="minorEastAsia" w:eastAsiaTheme="minorEastAsia"/>
          <w:spacing w:val="-3"/>
          <w:sz w:val="24"/>
          <w:szCs w:val="24"/>
        </w:rPr>
        <w:t>部</w:t>
      </w:r>
      <w:r>
        <w:rPr>
          <w:rFonts w:asciiTheme="minorEastAsia" w:hAnsiTheme="minorEastAsia" w:eastAsiaTheme="minorEastAsia"/>
          <w:sz w:val="24"/>
          <w:szCs w:val="24"/>
        </w:rPr>
        <w:t>分</w:t>
      </w:r>
      <w:r>
        <w:rPr>
          <w:rFonts w:asciiTheme="minorEastAsia" w:hAnsiTheme="minorEastAsia" w:eastAsiaTheme="minorEastAsia"/>
          <w:spacing w:val="-3"/>
          <w:sz w:val="24"/>
          <w:szCs w:val="24"/>
        </w:rPr>
        <w:t>采</w:t>
      </w:r>
      <w:r>
        <w:rPr>
          <w:rFonts w:asciiTheme="minorEastAsia" w:hAnsiTheme="minorEastAsia" w:eastAsiaTheme="minorEastAsia"/>
          <w:sz w:val="24"/>
          <w:szCs w:val="24"/>
        </w:rPr>
        <w:t>购</w:t>
      </w:r>
      <w:r>
        <w:rPr>
          <w:rFonts w:asciiTheme="minorEastAsia" w:hAnsiTheme="minorEastAsia" w:eastAsiaTheme="minorEastAsia"/>
          <w:spacing w:val="-3"/>
          <w:sz w:val="24"/>
          <w:szCs w:val="24"/>
        </w:rPr>
        <w:t>项</w:t>
      </w:r>
      <w:r>
        <w:rPr>
          <w:rFonts w:asciiTheme="minorEastAsia" w:hAnsiTheme="minorEastAsia" w:eastAsiaTheme="minorEastAsia"/>
          <w:sz w:val="24"/>
          <w:szCs w:val="24"/>
        </w:rPr>
        <w:t>目</w:t>
      </w:r>
      <w:r>
        <w:rPr>
          <w:rFonts w:asciiTheme="minorEastAsia" w:hAnsiTheme="minorEastAsia" w:eastAsiaTheme="minorEastAsia"/>
          <w:spacing w:val="-3"/>
          <w:sz w:val="24"/>
          <w:szCs w:val="24"/>
        </w:rPr>
        <w:t>需</w:t>
      </w:r>
      <w:r>
        <w:rPr>
          <w:rFonts w:asciiTheme="minorEastAsia" w:hAnsiTheme="minorEastAsia" w:eastAsiaTheme="minorEastAsia"/>
          <w:spacing w:val="-15"/>
          <w:sz w:val="24"/>
          <w:szCs w:val="24"/>
        </w:rPr>
        <w:t>求</w:t>
      </w:r>
      <w:r>
        <w:rPr>
          <w:rFonts w:asciiTheme="minorEastAsia" w:hAnsiTheme="minorEastAsia" w:eastAsiaTheme="minorEastAsia"/>
          <w:sz w:val="24"/>
          <w:szCs w:val="24"/>
        </w:rPr>
        <w:t>第三</w:t>
      </w:r>
      <w:r>
        <w:rPr>
          <w:rFonts w:asciiTheme="minorEastAsia" w:hAnsiTheme="minorEastAsia" w:eastAsiaTheme="minorEastAsia"/>
          <w:spacing w:val="-3"/>
          <w:sz w:val="24"/>
          <w:szCs w:val="24"/>
        </w:rPr>
        <w:t>部</w:t>
      </w:r>
      <w:r>
        <w:rPr>
          <w:rFonts w:asciiTheme="minorEastAsia" w:hAnsiTheme="minorEastAsia" w:eastAsiaTheme="minorEastAsia"/>
          <w:sz w:val="24"/>
          <w:szCs w:val="24"/>
        </w:rPr>
        <w:t>分</w:t>
      </w:r>
      <w:r>
        <w:rPr>
          <w:rFonts w:asciiTheme="minorEastAsia" w:hAnsiTheme="minorEastAsia" w:eastAsiaTheme="minorEastAsia"/>
          <w:spacing w:val="-3"/>
          <w:sz w:val="24"/>
          <w:szCs w:val="24"/>
        </w:rPr>
        <w:t>投</w:t>
      </w:r>
      <w:r>
        <w:rPr>
          <w:rFonts w:asciiTheme="minorEastAsia" w:hAnsiTheme="minorEastAsia" w:eastAsiaTheme="minorEastAsia"/>
          <w:sz w:val="24"/>
          <w:szCs w:val="24"/>
        </w:rPr>
        <w:t>标</w:t>
      </w:r>
      <w:r>
        <w:rPr>
          <w:rFonts w:asciiTheme="minorEastAsia" w:hAnsiTheme="minorEastAsia" w:eastAsiaTheme="minorEastAsia"/>
          <w:spacing w:val="-3"/>
          <w:sz w:val="24"/>
          <w:szCs w:val="24"/>
        </w:rPr>
        <w:t>人</w:t>
      </w:r>
      <w:r>
        <w:rPr>
          <w:rFonts w:asciiTheme="minorEastAsia" w:hAnsiTheme="minorEastAsia" w:eastAsiaTheme="minorEastAsia"/>
          <w:sz w:val="24"/>
          <w:szCs w:val="24"/>
        </w:rPr>
        <w:t>须知 第四</w:t>
      </w:r>
      <w:r>
        <w:rPr>
          <w:rFonts w:asciiTheme="minorEastAsia" w:hAnsiTheme="minorEastAsia" w:eastAsiaTheme="minorEastAsia"/>
          <w:spacing w:val="-3"/>
          <w:sz w:val="24"/>
          <w:szCs w:val="24"/>
        </w:rPr>
        <w:t>部</w:t>
      </w:r>
      <w:r>
        <w:rPr>
          <w:rFonts w:asciiTheme="minorEastAsia" w:hAnsiTheme="minorEastAsia" w:eastAsiaTheme="minorEastAsia"/>
          <w:sz w:val="24"/>
          <w:szCs w:val="24"/>
        </w:rPr>
        <w:t>分</w:t>
      </w:r>
      <w:r>
        <w:rPr>
          <w:rFonts w:asciiTheme="minorEastAsia" w:hAnsiTheme="minorEastAsia" w:eastAsiaTheme="minorEastAsia"/>
          <w:spacing w:val="-3"/>
          <w:sz w:val="24"/>
          <w:szCs w:val="24"/>
        </w:rPr>
        <w:t>开</w:t>
      </w:r>
      <w:r>
        <w:rPr>
          <w:rFonts w:asciiTheme="minorEastAsia" w:hAnsiTheme="minorEastAsia" w:eastAsiaTheme="minorEastAsia"/>
          <w:sz w:val="24"/>
          <w:szCs w:val="24"/>
        </w:rPr>
        <w:t>评标</w:t>
      </w:r>
    </w:p>
    <w:p>
      <w:pPr>
        <w:pStyle w:val="11"/>
        <w:spacing w:line="321" w:lineRule="auto"/>
        <w:ind w:left="532" w:right="7225"/>
        <w:rPr>
          <w:rFonts w:asciiTheme="minorEastAsia" w:hAnsiTheme="minorEastAsia" w:eastAsiaTheme="minorEastAsia"/>
          <w:sz w:val="24"/>
          <w:szCs w:val="24"/>
        </w:rPr>
      </w:pPr>
      <w:r>
        <w:rPr>
          <w:rFonts w:asciiTheme="minorEastAsia" w:hAnsiTheme="minorEastAsia" w:eastAsiaTheme="minorEastAsia"/>
          <w:sz w:val="24"/>
          <w:szCs w:val="24"/>
        </w:rPr>
        <w:t>第五</w:t>
      </w:r>
      <w:r>
        <w:rPr>
          <w:rFonts w:asciiTheme="minorEastAsia" w:hAnsiTheme="minorEastAsia" w:eastAsiaTheme="minorEastAsia"/>
          <w:spacing w:val="-3"/>
          <w:sz w:val="24"/>
          <w:szCs w:val="24"/>
        </w:rPr>
        <w:t>部</w:t>
      </w:r>
      <w:r>
        <w:rPr>
          <w:rFonts w:asciiTheme="minorEastAsia" w:hAnsiTheme="minorEastAsia" w:eastAsiaTheme="minorEastAsia"/>
          <w:sz w:val="24"/>
          <w:szCs w:val="24"/>
        </w:rPr>
        <w:t>分</w:t>
      </w:r>
      <w:r>
        <w:rPr>
          <w:rFonts w:asciiTheme="minorEastAsia" w:hAnsiTheme="minorEastAsia" w:eastAsiaTheme="minorEastAsia"/>
          <w:spacing w:val="-3"/>
          <w:sz w:val="24"/>
          <w:szCs w:val="24"/>
        </w:rPr>
        <w:t>合</w:t>
      </w:r>
      <w:r>
        <w:rPr>
          <w:rFonts w:asciiTheme="minorEastAsia" w:hAnsiTheme="minorEastAsia" w:eastAsiaTheme="minorEastAsia"/>
          <w:sz w:val="24"/>
          <w:szCs w:val="24"/>
        </w:rPr>
        <w:t>同</w:t>
      </w:r>
      <w:r>
        <w:rPr>
          <w:rFonts w:asciiTheme="minorEastAsia" w:hAnsiTheme="minorEastAsia" w:eastAsiaTheme="minorEastAsia"/>
          <w:spacing w:val="-3"/>
          <w:sz w:val="24"/>
          <w:szCs w:val="24"/>
        </w:rPr>
        <w:t>相</w:t>
      </w:r>
      <w:r>
        <w:rPr>
          <w:rFonts w:asciiTheme="minorEastAsia" w:hAnsiTheme="minorEastAsia" w:eastAsiaTheme="minorEastAsia"/>
          <w:sz w:val="24"/>
          <w:szCs w:val="24"/>
        </w:rPr>
        <w:t>关</w:t>
      </w:r>
      <w:r>
        <w:rPr>
          <w:rFonts w:asciiTheme="minorEastAsia" w:hAnsiTheme="minorEastAsia" w:eastAsiaTheme="minorEastAsia"/>
          <w:spacing w:val="-3"/>
          <w:sz w:val="24"/>
          <w:szCs w:val="24"/>
        </w:rPr>
        <w:t>要</w:t>
      </w:r>
      <w:r>
        <w:rPr>
          <w:rFonts w:asciiTheme="minorEastAsia" w:hAnsiTheme="minorEastAsia" w:eastAsiaTheme="minorEastAsia"/>
          <w:sz w:val="24"/>
          <w:szCs w:val="24"/>
        </w:rPr>
        <w:t>求 第六</w:t>
      </w:r>
      <w:r>
        <w:rPr>
          <w:rFonts w:asciiTheme="minorEastAsia" w:hAnsiTheme="minorEastAsia" w:eastAsiaTheme="minorEastAsia"/>
          <w:spacing w:val="-3"/>
          <w:sz w:val="24"/>
          <w:szCs w:val="24"/>
        </w:rPr>
        <w:t>部</w:t>
      </w:r>
      <w:r>
        <w:rPr>
          <w:rFonts w:asciiTheme="minorEastAsia" w:hAnsiTheme="minorEastAsia" w:eastAsiaTheme="minorEastAsia"/>
          <w:sz w:val="24"/>
          <w:szCs w:val="24"/>
        </w:rPr>
        <w:t>分</w:t>
      </w:r>
      <w:r>
        <w:rPr>
          <w:rFonts w:asciiTheme="minorEastAsia" w:hAnsiTheme="minorEastAsia" w:eastAsiaTheme="minorEastAsia"/>
          <w:spacing w:val="-3"/>
          <w:sz w:val="24"/>
          <w:szCs w:val="24"/>
        </w:rPr>
        <w:t>质</w:t>
      </w:r>
      <w:r>
        <w:rPr>
          <w:rFonts w:asciiTheme="minorEastAsia" w:hAnsiTheme="minorEastAsia" w:eastAsiaTheme="minorEastAsia"/>
          <w:sz w:val="24"/>
          <w:szCs w:val="24"/>
        </w:rPr>
        <w:t>疑</w:t>
      </w:r>
      <w:r>
        <w:rPr>
          <w:rFonts w:asciiTheme="minorEastAsia" w:hAnsiTheme="minorEastAsia" w:eastAsiaTheme="minorEastAsia"/>
          <w:spacing w:val="-3"/>
          <w:sz w:val="24"/>
          <w:szCs w:val="24"/>
        </w:rPr>
        <w:t>提</w:t>
      </w:r>
      <w:r>
        <w:rPr>
          <w:rFonts w:asciiTheme="minorEastAsia" w:hAnsiTheme="minorEastAsia" w:eastAsiaTheme="minorEastAsia"/>
          <w:sz w:val="24"/>
          <w:szCs w:val="24"/>
        </w:rPr>
        <w:t>出</w:t>
      </w:r>
      <w:r>
        <w:rPr>
          <w:rFonts w:asciiTheme="minorEastAsia" w:hAnsiTheme="minorEastAsia" w:eastAsiaTheme="minorEastAsia"/>
          <w:spacing w:val="-3"/>
          <w:sz w:val="24"/>
          <w:szCs w:val="24"/>
        </w:rPr>
        <w:t>和处</w:t>
      </w:r>
      <w:r>
        <w:rPr>
          <w:rFonts w:asciiTheme="minorEastAsia" w:hAnsiTheme="minorEastAsia" w:eastAsiaTheme="minorEastAsia"/>
          <w:spacing w:val="-14"/>
          <w:sz w:val="24"/>
          <w:szCs w:val="24"/>
        </w:rPr>
        <w:t>理</w:t>
      </w:r>
      <w:r>
        <w:rPr>
          <w:rFonts w:asciiTheme="minorEastAsia" w:hAnsiTheme="minorEastAsia" w:eastAsiaTheme="minorEastAsia"/>
          <w:sz w:val="24"/>
          <w:szCs w:val="24"/>
        </w:rPr>
        <w:t>第七</w:t>
      </w:r>
      <w:r>
        <w:rPr>
          <w:rFonts w:asciiTheme="minorEastAsia" w:hAnsiTheme="minorEastAsia" w:eastAsiaTheme="minorEastAsia"/>
          <w:spacing w:val="-3"/>
          <w:sz w:val="24"/>
          <w:szCs w:val="24"/>
        </w:rPr>
        <w:t>部</w:t>
      </w:r>
      <w:r>
        <w:rPr>
          <w:rFonts w:asciiTheme="minorEastAsia" w:hAnsiTheme="minorEastAsia" w:eastAsiaTheme="minorEastAsia"/>
          <w:sz w:val="24"/>
          <w:szCs w:val="24"/>
        </w:rPr>
        <w:t>分</w:t>
      </w:r>
      <w:r>
        <w:rPr>
          <w:rFonts w:asciiTheme="minorEastAsia" w:hAnsiTheme="minorEastAsia" w:eastAsiaTheme="minorEastAsia"/>
          <w:spacing w:val="-3"/>
          <w:sz w:val="24"/>
          <w:szCs w:val="24"/>
        </w:rPr>
        <w:t>投</w:t>
      </w:r>
      <w:r>
        <w:rPr>
          <w:rFonts w:asciiTheme="minorEastAsia" w:hAnsiTheme="minorEastAsia" w:eastAsiaTheme="minorEastAsia"/>
          <w:sz w:val="24"/>
          <w:szCs w:val="24"/>
        </w:rPr>
        <w:t>标</w:t>
      </w:r>
      <w:r>
        <w:rPr>
          <w:rFonts w:asciiTheme="minorEastAsia" w:hAnsiTheme="minorEastAsia" w:eastAsiaTheme="minorEastAsia"/>
          <w:spacing w:val="-3"/>
          <w:sz w:val="24"/>
          <w:szCs w:val="24"/>
        </w:rPr>
        <w:t>文</w:t>
      </w:r>
      <w:r>
        <w:rPr>
          <w:rFonts w:asciiTheme="minorEastAsia" w:hAnsiTheme="minorEastAsia" w:eastAsiaTheme="minorEastAsia"/>
          <w:sz w:val="24"/>
          <w:szCs w:val="24"/>
        </w:rPr>
        <w:t>件</w:t>
      </w:r>
      <w:r>
        <w:rPr>
          <w:rFonts w:asciiTheme="minorEastAsia" w:hAnsiTheme="minorEastAsia" w:eastAsiaTheme="minorEastAsia"/>
          <w:spacing w:val="-3"/>
          <w:sz w:val="24"/>
          <w:szCs w:val="24"/>
        </w:rPr>
        <w:t>格</w:t>
      </w:r>
      <w:r>
        <w:rPr>
          <w:rFonts w:asciiTheme="minorEastAsia" w:hAnsiTheme="minorEastAsia" w:eastAsiaTheme="minorEastAsia"/>
          <w:sz w:val="24"/>
          <w:szCs w:val="24"/>
        </w:rPr>
        <w:t>式</w:t>
      </w:r>
    </w:p>
    <w:p>
      <w:pPr>
        <w:spacing w:before="46"/>
        <w:ind w:left="12"/>
        <w:jc w:val="center"/>
        <w:rPr>
          <w:rFonts w:asciiTheme="minorEastAsia" w:hAnsiTheme="minorEastAsia" w:eastAsiaTheme="minorEastAsia"/>
          <w:b/>
          <w:sz w:val="28"/>
        </w:rPr>
      </w:pPr>
      <w:r>
        <w:rPr>
          <w:rFonts w:hint="eastAsia" w:asciiTheme="minorEastAsia" w:hAnsiTheme="minorEastAsia" w:eastAsiaTheme="minorEastAsia"/>
          <w:b/>
          <w:sz w:val="28"/>
        </w:rPr>
        <w:t>二、招标采购文件的澄清和修改</w:t>
      </w:r>
    </w:p>
    <w:p>
      <w:pPr>
        <w:pStyle w:val="27"/>
        <w:numPr>
          <w:ilvl w:val="0"/>
          <w:numId w:val="2"/>
        </w:numPr>
        <w:tabs>
          <w:tab w:val="left" w:pos="1106"/>
        </w:tabs>
        <w:spacing w:before="191" w:line="321" w:lineRule="auto"/>
        <w:ind w:right="453" w:firstLine="420"/>
        <w:jc w:val="both"/>
        <w:rPr>
          <w:rFonts w:asciiTheme="minorEastAsia" w:hAnsiTheme="minorEastAsia" w:eastAsiaTheme="minorEastAsia"/>
          <w:sz w:val="24"/>
          <w:szCs w:val="24"/>
        </w:rPr>
      </w:pPr>
      <w:r>
        <w:rPr>
          <w:rFonts w:asciiTheme="minorEastAsia" w:hAnsiTheme="minorEastAsia" w:eastAsiaTheme="minorEastAsia"/>
          <w:spacing w:val="-3"/>
          <w:sz w:val="24"/>
          <w:szCs w:val="24"/>
        </w:rPr>
        <w:t>供应商下载招标文件后，应仔细检查招标文件的所有内容，如对本次招标文件存在疑问，请将书</w:t>
      </w:r>
      <w:r>
        <w:rPr>
          <w:rFonts w:asciiTheme="minorEastAsia" w:hAnsiTheme="minorEastAsia" w:eastAsiaTheme="minorEastAsia"/>
          <w:spacing w:val="-5"/>
          <w:sz w:val="24"/>
          <w:szCs w:val="24"/>
        </w:rPr>
        <w:t xml:space="preserve">面询问文件在本项目投标截止时间 </w:t>
      </w:r>
      <w:r>
        <w:rPr>
          <w:rFonts w:asciiTheme="minorEastAsia" w:hAnsiTheme="minorEastAsia" w:eastAsiaTheme="minorEastAsia"/>
          <w:sz w:val="24"/>
          <w:szCs w:val="24"/>
        </w:rPr>
        <w:t>24</w:t>
      </w:r>
      <w:r>
        <w:rPr>
          <w:rFonts w:asciiTheme="minorEastAsia" w:hAnsiTheme="minorEastAsia" w:eastAsiaTheme="minorEastAsia"/>
          <w:spacing w:val="-13"/>
          <w:sz w:val="24"/>
          <w:szCs w:val="24"/>
        </w:rPr>
        <w:t xml:space="preserve"> 小时前送至采购单位或代理单位，采购单位作统一答复，所有开评</w:t>
      </w:r>
      <w:r>
        <w:rPr>
          <w:rFonts w:asciiTheme="minorEastAsia" w:hAnsiTheme="minorEastAsia" w:eastAsiaTheme="minorEastAsia"/>
          <w:spacing w:val="-6"/>
          <w:sz w:val="24"/>
          <w:szCs w:val="24"/>
        </w:rPr>
        <w:t>标程序等由代理单位作统一答复；如规定时间内未收到任何书面质疑，则视为各投标供应商均理解并接</w:t>
      </w:r>
      <w:r>
        <w:rPr>
          <w:rFonts w:asciiTheme="minorEastAsia" w:hAnsiTheme="minorEastAsia" w:eastAsiaTheme="minorEastAsia"/>
          <w:spacing w:val="-4"/>
          <w:sz w:val="24"/>
          <w:szCs w:val="24"/>
        </w:rPr>
        <w:t>受本招标文件所有内容。同时供应商不得在招标结束后针对招标文件所有内容提出质疑事项。</w:t>
      </w:r>
    </w:p>
    <w:p>
      <w:pPr>
        <w:pStyle w:val="27"/>
        <w:numPr>
          <w:ilvl w:val="0"/>
          <w:numId w:val="2"/>
        </w:numPr>
        <w:tabs>
          <w:tab w:val="left" w:pos="1106"/>
        </w:tabs>
        <w:spacing w:line="321" w:lineRule="auto"/>
        <w:ind w:right="453" w:firstLine="420"/>
        <w:jc w:val="both"/>
        <w:rPr>
          <w:rFonts w:asciiTheme="minorEastAsia" w:hAnsiTheme="minorEastAsia" w:eastAsiaTheme="minorEastAsia"/>
          <w:sz w:val="24"/>
          <w:szCs w:val="24"/>
        </w:rPr>
      </w:pPr>
      <w:r>
        <w:rPr>
          <w:rFonts w:asciiTheme="minorEastAsia" w:hAnsiTheme="minorEastAsia" w:eastAsiaTheme="minorEastAsia"/>
          <w:spacing w:val="-3"/>
          <w:sz w:val="24"/>
          <w:szCs w:val="24"/>
        </w:rPr>
        <w:t>投标人应认真审阅招标文件中所有的事项、格式、条款和规范要求等，如果投标人没有按照招标文件要求提交投标文件，或者投标文件没有对招标文件做出实质性响应，其投标将被拒绝或者将作为无效投标，由投标人自行承担责任。</w:t>
      </w:r>
    </w:p>
    <w:p>
      <w:pPr>
        <w:pStyle w:val="27"/>
        <w:numPr>
          <w:ilvl w:val="0"/>
          <w:numId w:val="2"/>
        </w:numPr>
        <w:tabs>
          <w:tab w:val="left" w:pos="1106"/>
        </w:tabs>
        <w:spacing w:line="321" w:lineRule="auto"/>
        <w:ind w:right="453" w:firstLine="420"/>
        <w:rPr>
          <w:rFonts w:asciiTheme="minorEastAsia" w:hAnsiTheme="minorEastAsia" w:eastAsiaTheme="minorEastAsia"/>
          <w:sz w:val="24"/>
          <w:szCs w:val="24"/>
        </w:rPr>
      </w:pPr>
      <w:r>
        <w:rPr>
          <w:rFonts w:asciiTheme="minorEastAsia" w:hAnsiTheme="minorEastAsia" w:eastAsiaTheme="minorEastAsia"/>
          <w:spacing w:val="-3"/>
          <w:sz w:val="24"/>
          <w:szCs w:val="24"/>
        </w:rPr>
        <w:t>招标人有权对发出的招标文件进行必要的澄清或修改。对招标文件的澄清、修改将构成招标文件的一部分，对所有投标人具有约束力。</w:t>
      </w:r>
    </w:p>
    <w:p>
      <w:pPr>
        <w:pStyle w:val="27"/>
        <w:numPr>
          <w:ilvl w:val="0"/>
          <w:numId w:val="2"/>
        </w:numPr>
        <w:tabs>
          <w:tab w:val="left" w:pos="1106"/>
        </w:tabs>
        <w:spacing w:line="268" w:lineRule="exact"/>
        <w:ind w:left="1105"/>
        <w:rPr>
          <w:rFonts w:asciiTheme="minorEastAsia" w:hAnsiTheme="minorEastAsia" w:eastAsiaTheme="minorEastAsia"/>
          <w:sz w:val="24"/>
          <w:szCs w:val="24"/>
        </w:rPr>
      </w:pPr>
      <w:r>
        <w:rPr>
          <w:rFonts w:asciiTheme="minorEastAsia" w:hAnsiTheme="minorEastAsia" w:eastAsiaTheme="minorEastAsia"/>
          <w:spacing w:val="-3"/>
          <w:sz w:val="24"/>
          <w:szCs w:val="24"/>
        </w:rPr>
        <w:t>招标人可视情取消、延长投标截止时间和开标时间，不负责解释。</w:t>
      </w:r>
    </w:p>
    <w:p>
      <w:pPr>
        <w:pStyle w:val="27"/>
        <w:numPr>
          <w:ilvl w:val="0"/>
          <w:numId w:val="2"/>
        </w:numPr>
        <w:tabs>
          <w:tab w:val="left" w:pos="1106"/>
        </w:tabs>
        <w:spacing w:before="87" w:line="321" w:lineRule="auto"/>
        <w:ind w:right="453" w:firstLine="420"/>
        <w:rPr>
          <w:rFonts w:asciiTheme="minorEastAsia" w:hAnsiTheme="minorEastAsia" w:eastAsiaTheme="minorEastAsia"/>
          <w:sz w:val="24"/>
          <w:szCs w:val="24"/>
        </w:rPr>
      </w:pPr>
      <w:r>
        <w:rPr>
          <w:rFonts w:asciiTheme="minorEastAsia" w:hAnsiTheme="minorEastAsia" w:eastAsiaTheme="minorEastAsia"/>
          <w:spacing w:val="-3"/>
          <w:sz w:val="24"/>
          <w:szCs w:val="24"/>
        </w:rPr>
        <w:t>投标人由于对招标文件的任何推论和误解以及招标人对有关问题的口头解释所造成的后果，均由投标人自负。</w:t>
      </w:r>
    </w:p>
    <w:p>
      <w:pPr>
        <w:pStyle w:val="27"/>
        <w:numPr>
          <w:ilvl w:val="0"/>
          <w:numId w:val="2"/>
        </w:numPr>
        <w:tabs>
          <w:tab w:val="left" w:pos="1106"/>
        </w:tabs>
        <w:spacing w:line="268" w:lineRule="exact"/>
        <w:ind w:left="1105"/>
        <w:rPr>
          <w:rFonts w:asciiTheme="minorEastAsia" w:hAnsiTheme="minorEastAsia" w:eastAsiaTheme="minorEastAsia"/>
          <w:sz w:val="24"/>
          <w:szCs w:val="24"/>
        </w:rPr>
      </w:pPr>
      <w:r>
        <w:rPr>
          <w:rFonts w:asciiTheme="minorEastAsia" w:hAnsiTheme="minorEastAsia" w:eastAsiaTheme="minorEastAsia"/>
          <w:spacing w:val="-3"/>
          <w:sz w:val="24"/>
          <w:szCs w:val="24"/>
        </w:rPr>
        <w:t>招标人视情组织答疑会。</w:t>
      </w:r>
    </w:p>
    <w:p>
      <w:pPr>
        <w:spacing w:line="268" w:lineRule="exact"/>
        <w:rPr>
          <w:rFonts w:asciiTheme="minorEastAsia" w:hAnsiTheme="minorEastAsia" w:eastAsiaTheme="minorEastAsia"/>
          <w:sz w:val="21"/>
        </w:rPr>
      </w:pPr>
    </w:p>
    <w:p>
      <w:pPr>
        <w:jc w:val="center"/>
        <w:rPr>
          <w:rFonts w:asciiTheme="minorEastAsia" w:hAnsiTheme="minorEastAsia" w:eastAsiaTheme="minorEastAsia"/>
          <w:b/>
          <w:bCs/>
          <w:color w:val="000000"/>
          <w:sz w:val="28"/>
          <w:szCs w:val="24"/>
        </w:rPr>
      </w:pPr>
      <w:r>
        <w:rPr>
          <w:rFonts w:hint="eastAsia" w:asciiTheme="minorEastAsia" w:hAnsiTheme="minorEastAsia" w:eastAsiaTheme="minorEastAsia"/>
          <w:b/>
          <w:bCs/>
          <w:color w:val="000000"/>
          <w:sz w:val="28"/>
          <w:szCs w:val="24"/>
        </w:rPr>
        <w:t>三、投标文件的制作</w:t>
      </w:r>
    </w:p>
    <w:p>
      <w:pPr>
        <w:spacing w:line="360" w:lineRule="auto"/>
        <w:rPr>
          <w:rFonts w:asciiTheme="minorEastAsia" w:hAnsiTheme="minorEastAsia" w:eastAsiaTheme="minorEastAsia"/>
          <w:color w:val="000000"/>
          <w:sz w:val="28"/>
          <w:szCs w:val="24"/>
        </w:rPr>
      </w:pPr>
      <w:r>
        <w:rPr>
          <w:rFonts w:hint="eastAsia" w:asciiTheme="minorEastAsia" w:hAnsiTheme="minorEastAsia" w:eastAsiaTheme="minorEastAsia"/>
          <w:b/>
          <w:color w:val="000000"/>
          <w:sz w:val="28"/>
          <w:szCs w:val="24"/>
        </w:rPr>
        <w:t>1</w:t>
      </w:r>
      <w:r>
        <w:rPr>
          <w:rFonts w:hint="eastAsia" w:asciiTheme="minorEastAsia" w:hAnsiTheme="minorEastAsia" w:eastAsiaTheme="minorEastAsia"/>
          <w:color w:val="000000"/>
          <w:sz w:val="28"/>
          <w:szCs w:val="24"/>
        </w:rPr>
        <w:t>、原则：</w:t>
      </w:r>
    </w:p>
    <w:p>
      <w:pPr>
        <w:spacing w:line="360" w:lineRule="auto"/>
        <w:ind w:firstLine="210" w:firstLineChars="100"/>
        <w:rPr>
          <w:rFonts w:asciiTheme="minorEastAsia" w:hAnsiTheme="minorEastAsia" w:eastAsiaTheme="minorEastAsia"/>
          <w:color w:val="000000"/>
          <w:sz w:val="21"/>
          <w:szCs w:val="24"/>
        </w:rPr>
      </w:pPr>
      <w:r>
        <w:rPr>
          <w:rFonts w:hint="eastAsia" w:asciiTheme="minorEastAsia" w:hAnsiTheme="minorEastAsia" w:eastAsiaTheme="minorEastAsia"/>
          <w:color w:val="000000"/>
          <w:sz w:val="21"/>
          <w:szCs w:val="24"/>
        </w:rPr>
        <w:t>（1）投标人应保证所提供的所有资料的真实性、准确性。</w:t>
      </w:r>
    </w:p>
    <w:p>
      <w:pPr>
        <w:spacing w:line="360" w:lineRule="auto"/>
        <w:ind w:firstLine="210" w:firstLineChars="100"/>
        <w:rPr>
          <w:rFonts w:asciiTheme="minorEastAsia" w:hAnsiTheme="minorEastAsia" w:eastAsiaTheme="minorEastAsia"/>
          <w:color w:val="000000"/>
          <w:sz w:val="21"/>
          <w:szCs w:val="24"/>
        </w:rPr>
      </w:pPr>
      <w:r>
        <w:rPr>
          <w:rFonts w:hint="eastAsia" w:asciiTheme="minorEastAsia" w:hAnsiTheme="minorEastAsia" w:eastAsiaTheme="minorEastAsia"/>
          <w:color w:val="000000"/>
          <w:sz w:val="21"/>
          <w:szCs w:val="24"/>
        </w:rPr>
        <w:t>（2）投标人在招标过程中提供不真实的材料，无论其材料是否重要，采购方都将终止其投标资格，投标</w:t>
      </w:r>
    </w:p>
    <w:p>
      <w:pPr>
        <w:spacing w:line="360" w:lineRule="auto"/>
        <w:rPr>
          <w:rFonts w:asciiTheme="minorEastAsia" w:hAnsiTheme="minorEastAsia" w:eastAsiaTheme="minorEastAsia"/>
          <w:color w:val="000000"/>
          <w:sz w:val="21"/>
          <w:szCs w:val="24"/>
        </w:rPr>
      </w:pPr>
      <w:r>
        <w:rPr>
          <w:rFonts w:hint="eastAsia" w:asciiTheme="minorEastAsia" w:hAnsiTheme="minorEastAsia" w:eastAsiaTheme="minorEastAsia"/>
          <w:color w:val="000000"/>
          <w:sz w:val="21"/>
          <w:szCs w:val="24"/>
        </w:rPr>
        <w:t>人需承担相应的后果及法律责任。</w:t>
      </w:r>
    </w:p>
    <w:p>
      <w:pPr>
        <w:spacing w:line="360" w:lineRule="auto"/>
        <w:ind w:firstLine="210" w:firstLineChars="100"/>
        <w:rPr>
          <w:rFonts w:asciiTheme="minorEastAsia" w:hAnsiTheme="minorEastAsia" w:eastAsiaTheme="minorEastAsia"/>
          <w:color w:val="000000"/>
          <w:sz w:val="21"/>
          <w:szCs w:val="24"/>
        </w:rPr>
      </w:pPr>
      <w:r>
        <w:rPr>
          <w:rFonts w:hint="eastAsia" w:asciiTheme="minorEastAsia" w:hAnsiTheme="minorEastAsia" w:eastAsiaTheme="minorEastAsia"/>
          <w:color w:val="000000"/>
          <w:sz w:val="21"/>
          <w:szCs w:val="24"/>
        </w:rPr>
        <w:t>（3）采购方拒绝接受电报、电话或传真形式的投标文件。</w:t>
      </w:r>
    </w:p>
    <w:p>
      <w:pPr>
        <w:spacing w:line="360" w:lineRule="auto"/>
        <w:rPr>
          <w:rFonts w:asciiTheme="minorEastAsia" w:hAnsiTheme="minorEastAsia" w:eastAsiaTheme="minorEastAsia"/>
          <w:color w:val="000000"/>
          <w:sz w:val="28"/>
          <w:szCs w:val="24"/>
        </w:rPr>
      </w:pPr>
      <w:r>
        <w:rPr>
          <w:rFonts w:hint="eastAsia" w:asciiTheme="minorEastAsia" w:hAnsiTheme="minorEastAsia" w:eastAsiaTheme="minorEastAsia"/>
          <w:b/>
          <w:color w:val="000000"/>
          <w:sz w:val="28"/>
          <w:szCs w:val="24"/>
        </w:rPr>
        <w:t>2</w:t>
      </w:r>
      <w:r>
        <w:rPr>
          <w:rFonts w:hint="eastAsia" w:asciiTheme="minorEastAsia" w:hAnsiTheme="minorEastAsia" w:eastAsiaTheme="minorEastAsia"/>
          <w:color w:val="000000"/>
          <w:sz w:val="28"/>
          <w:szCs w:val="24"/>
        </w:rPr>
        <w:t>、投标文件的组成：见本招标采购文件第</w:t>
      </w:r>
      <w:r>
        <w:rPr>
          <w:rFonts w:hint="eastAsia" w:asciiTheme="minorEastAsia" w:hAnsiTheme="minorEastAsia" w:eastAsiaTheme="minorEastAsia"/>
          <w:color w:val="000000"/>
          <w:sz w:val="28"/>
          <w:szCs w:val="24"/>
          <w:lang w:val="en-US"/>
        </w:rPr>
        <w:t>七</w:t>
      </w:r>
      <w:r>
        <w:rPr>
          <w:rFonts w:hint="eastAsia" w:asciiTheme="minorEastAsia" w:hAnsiTheme="minorEastAsia" w:eastAsiaTheme="minorEastAsia"/>
          <w:color w:val="000000"/>
          <w:sz w:val="28"/>
          <w:szCs w:val="24"/>
        </w:rPr>
        <w:t>部分“投标文件格式”。</w:t>
      </w:r>
    </w:p>
    <w:p>
      <w:pPr>
        <w:spacing w:line="360" w:lineRule="auto"/>
        <w:ind w:firstLine="480" w:firstLineChars="200"/>
        <w:rPr>
          <w:rFonts w:asciiTheme="minorEastAsia" w:hAnsiTheme="minorEastAsia" w:eastAsiaTheme="minorEastAsia"/>
          <w:color w:val="000000"/>
          <w:sz w:val="21"/>
          <w:szCs w:val="24"/>
        </w:rPr>
      </w:pPr>
      <w:r>
        <w:rPr>
          <w:rFonts w:hint="eastAsia" w:asciiTheme="minorEastAsia" w:hAnsiTheme="minorEastAsia" w:eastAsiaTheme="minorEastAsia"/>
          <w:color w:val="000000"/>
          <w:sz w:val="24"/>
          <w:szCs w:val="24"/>
        </w:rPr>
        <w:t>特别提示：请投标人携带相关原件用于备查。</w:t>
      </w:r>
      <w:r>
        <w:rPr>
          <w:rFonts w:hint="eastAsia" w:asciiTheme="minorEastAsia" w:hAnsiTheme="minorEastAsia" w:eastAsiaTheme="minorEastAsia"/>
          <w:color w:val="000000"/>
          <w:sz w:val="21"/>
          <w:szCs w:val="24"/>
        </w:rPr>
        <w:t>不能提供原件的，则需投标人提供经注册地公证</w:t>
      </w:r>
    </w:p>
    <w:p>
      <w:pPr>
        <w:spacing w:line="360" w:lineRule="auto"/>
        <w:rPr>
          <w:rFonts w:asciiTheme="minorEastAsia" w:hAnsiTheme="minorEastAsia" w:eastAsiaTheme="minorEastAsia"/>
          <w:color w:val="000000"/>
          <w:sz w:val="21"/>
          <w:szCs w:val="24"/>
        </w:rPr>
      </w:pPr>
      <w:r>
        <w:rPr>
          <w:rFonts w:hint="eastAsia" w:asciiTheme="minorEastAsia" w:hAnsiTheme="minorEastAsia" w:eastAsiaTheme="minorEastAsia"/>
          <w:color w:val="000000"/>
          <w:sz w:val="21"/>
          <w:szCs w:val="24"/>
        </w:rPr>
        <w:t>机构的公证书或原发证机构出具的相关证明材料。复印件请加盖单位公章。因携带原件不全，由此引起的</w:t>
      </w:r>
    </w:p>
    <w:p>
      <w:pPr>
        <w:spacing w:line="360" w:lineRule="auto"/>
        <w:rPr>
          <w:rFonts w:asciiTheme="minorEastAsia" w:hAnsiTheme="minorEastAsia" w:eastAsiaTheme="minorEastAsia"/>
          <w:color w:val="000000"/>
          <w:sz w:val="21"/>
          <w:szCs w:val="24"/>
        </w:rPr>
      </w:pPr>
      <w:r>
        <w:rPr>
          <w:rFonts w:hint="eastAsia" w:asciiTheme="minorEastAsia" w:hAnsiTheme="minorEastAsia" w:eastAsiaTheme="minorEastAsia"/>
          <w:color w:val="000000"/>
          <w:sz w:val="21"/>
          <w:szCs w:val="24"/>
        </w:rPr>
        <w:t>后果由投标人自负。（须将备查原件放在一个资料袋中，原件资料袋可不密封，但须在资料袋上标明投标</w:t>
      </w:r>
    </w:p>
    <w:p>
      <w:pPr>
        <w:spacing w:line="360" w:lineRule="auto"/>
        <w:rPr>
          <w:rFonts w:asciiTheme="minorEastAsia" w:hAnsiTheme="minorEastAsia" w:eastAsiaTheme="minorEastAsia"/>
          <w:color w:val="000000"/>
          <w:sz w:val="21"/>
          <w:szCs w:val="24"/>
        </w:rPr>
      </w:pPr>
      <w:r>
        <w:rPr>
          <w:rFonts w:hint="eastAsia" w:asciiTheme="minorEastAsia" w:hAnsiTheme="minorEastAsia" w:eastAsiaTheme="minorEastAsia"/>
          <w:color w:val="000000"/>
          <w:sz w:val="21"/>
          <w:szCs w:val="24"/>
        </w:rPr>
        <w:t>单位名称和原件清单目录。）</w:t>
      </w:r>
    </w:p>
    <w:p>
      <w:pPr>
        <w:spacing w:line="360" w:lineRule="auto"/>
        <w:rPr>
          <w:rFonts w:asciiTheme="minorEastAsia" w:hAnsiTheme="minorEastAsia" w:eastAsiaTheme="minorEastAsia"/>
          <w:color w:val="000000"/>
          <w:sz w:val="28"/>
          <w:szCs w:val="24"/>
        </w:rPr>
      </w:pPr>
      <w:r>
        <w:rPr>
          <w:rFonts w:hint="eastAsia" w:asciiTheme="minorEastAsia" w:hAnsiTheme="minorEastAsia" w:eastAsiaTheme="minorEastAsia"/>
          <w:b/>
          <w:color w:val="000000"/>
          <w:sz w:val="28"/>
          <w:szCs w:val="24"/>
        </w:rPr>
        <w:t>3</w:t>
      </w:r>
      <w:r>
        <w:rPr>
          <w:rFonts w:hint="eastAsia" w:asciiTheme="minorEastAsia" w:hAnsiTheme="minorEastAsia" w:eastAsiaTheme="minorEastAsia"/>
          <w:color w:val="000000"/>
          <w:sz w:val="28"/>
          <w:szCs w:val="24"/>
        </w:rPr>
        <w:t>、投标文件制作要求：</w:t>
      </w:r>
    </w:p>
    <w:p>
      <w:pPr>
        <w:spacing w:line="360" w:lineRule="auto"/>
        <w:ind w:firstLine="420" w:firstLineChars="200"/>
        <w:rPr>
          <w:rFonts w:asciiTheme="minorEastAsia" w:hAnsiTheme="minorEastAsia" w:eastAsiaTheme="minorEastAsia"/>
          <w:color w:val="000000"/>
          <w:sz w:val="21"/>
          <w:szCs w:val="24"/>
        </w:rPr>
      </w:pPr>
      <w:r>
        <w:rPr>
          <w:rFonts w:hint="eastAsia" w:asciiTheme="minorEastAsia" w:hAnsiTheme="minorEastAsia" w:eastAsiaTheme="minorEastAsia"/>
          <w:color w:val="000000"/>
          <w:sz w:val="21"/>
          <w:szCs w:val="24"/>
        </w:rPr>
        <w:t>（1）投标人应按投标文件组成顺序编写、制作投标文件，并牢固装订成册。投标文件均需采用A4 纸（图</w:t>
      </w:r>
    </w:p>
    <w:p>
      <w:pPr>
        <w:spacing w:line="360" w:lineRule="auto"/>
        <w:rPr>
          <w:rFonts w:asciiTheme="minorEastAsia" w:hAnsiTheme="minorEastAsia" w:eastAsiaTheme="minorEastAsia"/>
          <w:color w:val="000000"/>
          <w:sz w:val="21"/>
          <w:szCs w:val="24"/>
        </w:rPr>
      </w:pPr>
      <w:r>
        <w:rPr>
          <w:rFonts w:hint="eastAsia" w:asciiTheme="minorEastAsia" w:hAnsiTheme="minorEastAsia" w:eastAsiaTheme="minorEastAsia"/>
          <w:color w:val="000000"/>
          <w:sz w:val="21"/>
          <w:szCs w:val="24"/>
        </w:rPr>
        <w:t>纸等除外）。投标文件不得行间插字、涂改、增删，如修改错漏处，须经投标文件签署人签字并加盖公章。</w:t>
      </w:r>
    </w:p>
    <w:p>
      <w:pPr>
        <w:spacing w:line="360" w:lineRule="auto"/>
        <w:ind w:firstLine="420" w:firstLineChars="200"/>
        <w:rPr>
          <w:rFonts w:asciiTheme="minorEastAsia" w:hAnsiTheme="minorEastAsia" w:eastAsiaTheme="minorEastAsia"/>
          <w:color w:val="000000"/>
          <w:sz w:val="21"/>
          <w:szCs w:val="24"/>
        </w:rPr>
      </w:pPr>
      <w:r>
        <w:rPr>
          <w:rFonts w:hint="eastAsia" w:asciiTheme="minorEastAsia" w:hAnsiTheme="minorEastAsia" w:eastAsiaTheme="minorEastAsia"/>
          <w:color w:val="000000"/>
          <w:sz w:val="21"/>
          <w:szCs w:val="24"/>
        </w:rPr>
        <w:t>（2）投标文件正本一份、副本贰份，在每一份投标文件上要明确标注投标人全称、“正本”、“副本”</w:t>
      </w:r>
    </w:p>
    <w:p>
      <w:pPr>
        <w:spacing w:line="360" w:lineRule="auto"/>
        <w:rPr>
          <w:rFonts w:asciiTheme="minorEastAsia" w:hAnsiTheme="minorEastAsia" w:eastAsiaTheme="minorEastAsia"/>
          <w:color w:val="000000"/>
          <w:sz w:val="21"/>
          <w:szCs w:val="24"/>
        </w:rPr>
      </w:pPr>
      <w:r>
        <w:rPr>
          <w:rFonts w:hint="eastAsia" w:asciiTheme="minorEastAsia" w:hAnsiTheme="minorEastAsia" w:eastAsiaTheme="minorEastAsia"/>
          <w:color w:val="000000"/>
          <w:sz w:val="21"/>
          <w:szCs w:val="24"/>
        </w:rPr>
        <w:t>字样。一旦正本和副本内容有差异，以正本为准。</w:t>
      </w:r>
    </w:p>
    <w:p>
      <w:pPr>
        <w:spacing w:line="360" w:lineRule="auto"/>
        <w:ind w:firstLine="420" w:firstLineChars="200"/>
        <w:rPr>
          <w:rFonts w:asciiTheme="minorEastAsia" w:hAnsiTheme="minorEastAsia" w:eastAsiaTheme="minorEastAsia"/>
          <w:color w:val="000000"/>
          <w:sz w:val="21"/>
          <w:szCs w:val="24"/>
        </w:rPr>
      </w:pPr>
      <w:r>
        <w:rPr>
          <w:rFonts w:hint="eastAsia" w:asciiTheme="minorEastAsia" w:hAnsiTheme="minorEastAsia" w:eastAsiaTheme="minorEastAsia"/>
          <w:color w:val="000000"/>
          <w:sz w:val="21"/>
          <w:szCs w:val="24"/>
        </w:rPr>
        <w:t>（3）投标文件正本须打印并由法定代表人或授权代表签字并加盖单位公章。副本可复印，但须加盖单位</w:t>
      </w:r>
    </w:p>
    <w:p>
      <w:pPr>
        <w:spacing w:line="360" w:lineRule="auto"/>
        <w:rPr>
          <w:rFonts w:asciiTheme="minorEastAsia" w:hAnsiTheme="minorEastAsia" w:eastAsiaTheme="minorEastAsia"/>
          <w:color w:val="000000"/>
          <w:sz w:val="21"/>
          <w:szCs w:val="24"/>
        </w:rPr>
      </w:pPr>
      <w:r>
        <w:rPr>
          <w:rFonts w:hint="eastAsia" w:asciiTheme="minorEastAsia" w:hAnsiTheme="minorEastAsia" w:eastAsiaTheme="minorEastAsia"/>
          <w:color w:val="000000"/>
          <w:sz w:val="21"/>
          <w:szCs w:val="24"/>
        </w:rPr>
        <w:t>公章。</w:t>
      </w:r>
    </w:p>
    <w:p>
      <w:pPr>
        <w:spacing w:line="360" w:lineRule="auto"/>
        <w:ind w:firstLine="420" w:firstLineChars="200"/>
        <w:rPr>
          <w:rFonts w:asciiTheme="minorEastAsia" w:hAnsiTheme="minorEastAsia" w:eastAsiaTheme="minorEastAsia"/>
          <w:color w:val="000000"/>
          <w:sz w:val="21"/>
          <w:szCs w:val="24"/>
        </w:rPr>
      </w:pPr>
      <w:r>
        <w:rPr>
          <w:rFonts w:hint="eastAsia" w:asciiTheme="minorEastAsia" w:hAnsiTheme="minorEastAsia" w:eastAsiaTheme="minorEastAsia"/>
          <w:color w:val="000000"/>
          <w:sz w:val="21"/>
          <w:szCs w:val="24"/>
        </w:rPr>
        <w:t>（4）所有密封文件封套正面须标明项目名称、边缝处加盖单位骑缝章或骑缝签字，并注明于</w:t>
      </w:r>
    </w:p>
    <w:p>
      <w:pPr>
        <w:spacing w:line="360" w:lineRule="auto"/>
        <w:rPr>
          <w:rFonts w:asciiTheme="minorEastAsia" w:hAnsiTheme="minorEastAsia" w:eastAsiaTheme="minorEastAsia"/>
          <w:color w:val="000000"/>
          <w:sz w:val="21"/>
          <w:szCs w:val="24"/>
        </w:rPr>
      </w:pPr>
      <w:r>
        <w:rPr>
          <w:rFonts w:hint="eastAsia" w:asciiTheme="minorEastAsia" w:hAnsiTheme="minorEastAsia" w:eastAsiaTheme="minorEastAsia"/>
          <w:color w:val="000000"/>
          <w:sz w:val="21"/>
          <w:szCs w:val="24"/>
        </w:rPr>
        <w:t>开标前不得启封。如果投标供应商未加写标记，招标方对投标文件的误投和提前启封不负责任。</w:t>
      </w:r>
    </w:p>
    <w:p>
      <w:pPr>
        <w:spacing w:line="360" w:lineRule="auto"/>
        <w:rPr>
          <w:rFonts w:asciiTheme="minorEastAsia" w:hAnsiTheme="minorEastAsia" w:eastAsiaTheme="minorEastAsia"/>
          <w:color w:val="000000"/>
          <w:sz w:val="28"/>
          <w:szCs w:val="24"/>
        </w:rPr>
      </w:pPr>
      <w:r>
        <w:rPr>
          <w:rFonts w:hint="eastAsia" w:asciiTheme="minorEastAsia" w:hAnsiTheme="minorEastAsia" w:eastAsiaTheme="minorEastAsia"/>
          <w:b/>
          <w:color w:val="000000"/>
          <w:sz w:val="28"/>
          <w:szCs w:val="24"/>
        </w:rPr>
        <w:t>4</w:t>
      </w:r>
      <w:r>
        <w:rPr>
          <w:rFonts w:hint="eastAsia" w:asciiTheme="minorEastAsia" w:hAnsiTheme="minorEastAsia" w:eastAsiaTheme="minorEastAsia"/>
          <w:color w:val="000000"/>
          <w:sz w:val="28"/>
          <w:szCs w:val="24"/>
        </w:rPr>
        <w:t>、投标报价</w:t>
      </w:r>
    </w:p>
    <w:p>
      <w:pPr>
        <w:adjustRightInd w:val="0"/>
        <w:spacing w:line="360" w:lineRule="auto"/>
        <w:rPr>
          <w:rFonts w:asciiTheme="minorEastAsia" w:hAnsiTheme="minorEastAsia" w:eastAsiaTheme="minorEastAsia"/>
          <w:color w:val="000000"/>
          <w:sz w:val="21"/>
          <w:szCs w:val="24"/>
        </w:rPr>
      </w:pPr>
      <w:r>
        <w:rPr>
          <w:rFonts w:hint="eastAsia" w:asciiTheme="minorEastAsia" w:hAnsiTheme="minorEastAsia" w:eastAsiaTheme="minorEastAsia"/>
          <w:color w:val="000000"/>
          <w:sz w:val="21"/>
          <w:szCs w:val="24"/>
        </w:rPr>
        <w:t>（1）</w:t>
      </w:r>
      <w:r>
        <w:rPr>
          <w:rFonts w:hint="eastAsia" w:asciiTheme="minorEastAsia" w:hAnsiTheme="minorEastAsia" w:eastAsiaTheme="minorEastAsia"/>
          <w:b/>
          <w:szCs w:val="21"/>
          <w:lang w:val="en-GB"/>
        </w:rPr>
        <w:t>投标报价应包含</w:t>
      </w:r>
      <w:r>
        <w:rPr>
          <w:rFonts w:hint="eastAsia" w:asciiTheme="minorEastAsia" w:hAnsiTheme="minorEastAsia" w:eastAsiaTheme="minorEastAsia"/>
          <w:b/>
          <w:szCs w:val="21"/>
        </w:rPr>
        <w:t>完成本项目</w:t>
      </w:r>
      <w:r>
        <w:rPr>
          <w:rFonts w:hint="eastAsia" w:asciiTheme="minorEastAsia" w:hAnsiTheme="minorEastAsia" w:eastAsiaTheme="minorEastAsia"/>
        </w:rPr>
        <w:t>所需的一切的费用，招标人不再支付其它任何费用。</w:t>
      </w:r>
    </w:p>
    <w:p>
      <w:pPr>
        <w:spacing w:line="360" w:lineRule="auto"/>
        <w:rPr>
          <w:rFonts w:asciiTheme="minorEastAsia" w:hAnsiTheme="minorEastAsia" w:eastAsiaTheme="minorEastAsia"/>
          <w:color w:val="000000"/>
          <w:sz w:val="21"/>
          <w:szCs w:val="24"/>
        </w:rPr>
      </w:pPr>
      <w:r>
        <w:rPr>
          <w:rFonts w:hint="eastAsia" w:asciiTheme="minorEastAsia" w:hAnsiTheme="minorEastAsia" w:eastAsiaTheme="minorEastAsia"/>
          <w:color w:val="000000"/>
          <w:sz w:val="21"/>
          <w:szCs w:val="24"/>
        </w:rPr>
        <w:t>（2）本报价单具有法律效力，请供应商严格按项目要求报价，并由法定代表人或被授权人签署，加盖单</w:t>
      </w:r>
    </w:p>
    <w:p>
      <w:pPr>
        <w:spacing w:line="360" w:lineRule="auto"/>
        <w:rPr>
          <w:rFonts w:asciiTheme="minorEastAsia" w:hAnsiTheme="minorEastAsia" w:eastAsiaTheme="minorEastAsia"/>
          <w:color w:val="000000"/>
          <w:sz w:val="21"/>
          <w:szCs w:val="24"/>
        </w:rPr>
      </w:pPr>
      <w:r>
        <w:rPr>
          <w:rFonts w:hint="eastAsia" w:asciiTheme="minorEastAsia" w:hAnsiTheme="minorEastAsia" w:eastAsiaTheme="minorEastAsia"/>
          <w:color w:val="000000"/>
          <w:sz w:val="21"/>
          <w:szCs w:val="24"/>
        </w:rPr>
        <w:t>位公章后有效（涂改无效）。</w:t>
      </w:r>
    </w:p>
    <w:p>
      <w:pPr>
        <w:spacing w:line="360" w:lineRule="auto"/>
        <w:rPr>
          <w:rFonts w:asciiTheme="minorEastAsia" w:hAnsiTheme="minorEastAsia" w:eastAsiaTheme="minorEastAsia"/>
          <w:color w:val="000000"/>
          <w:sz w:val="21"/>
          <w:szCs w:val="24"/>
        </w:rPr>
      </w:pPr>
      <w:r>
        <w:rPr>
          <w:rFonts w:hint="eastAsia" w:asciiTheme="minorEastAsia" w:hAnsiTheme="minorEastAsia" w:eastAsiaTheme="minorEastAsia"/>
          <w:color w:val="000000"/>
          <w:sz w:val="21"/>
          <w:szCs w:val="24"/>
        </w:rPr>
        <w:t>（3）投标人应对招标文件内所要采购的全部内容进行报价，只投其中部分内容者，其投标书将被拒绝。</w:t>
      </w:r>
    </w:p>
    <w:p>
      <w:pPr>
        <w:spacing w:line="360" w:lineRule="auto"/>
        <w:rPr>
          <w:rFonts w:asciiTheme="minorEastAsia" w:hAnsiTheme="minorEastAsia" w:eastAsiaTheme="minorEastAsia"/>
          <w:b/>
          <w:color w:val="000000"/>
          <w:sz w:val="21"/>
          <w:szCs w:val="24"/>
        </w:rPr>
      </w:pPr>
      <w:r>
        <w:rPr>
          <w:rFonts w:hint="eastAsia" w:asciiTheme="minorEastAsia" w:hAnsiTheme="minorEastAsia" w:eastAsiaTheme="minorEastAsia"/>
          <w:b/>
          <w:color w:val="000000"/>
          <w:sz w:val="21"/>
          <w:szCs w:val="24"/>
        </w:rPr>
        <w:t>（4）本项目将进行现场最终报价，请做好现场报价的准备。</w:t>
      </w:r>
    </w:p>
    <w:p>
      <w:pPr>
        <w:spacing w:line="360" w:lineRule="auto"/>
        <w:rPr>
          <w:rFonts w:asciiTheme="minorEastAsia" w:hAnsiTheme="minorEastAsia" w:eastAsiaTheme="minorEastAsia"/>
          <w:color w:val="FF0000"/>
          <w:sz w:val="21"/>
          <w:szCs w:val="24"/>
        </w:rPr>
      </w:pPr>
      <w:r>
        <w:rPr>
          <w:rFonts w:hint="eastAsia" w:asciiTheme="minorEastAsia" w:hAnsiTheme="minorEastAsia" w:eastAsiaTheme="minorEastAsia"/>
          <w:b/>
          <w:color w:val="000000"/>
          <w:sz w:val="21"/>
          <w:szCs w:val="24"/>
        </w:rPr>
        <w:t>（5）本项目最高限价为人民币</w:t>
      </w:r>
      <w:r>
        <w:rPr>
          <w:rFonts w:asciiTheme="minorEastAsia" w:hAnsiTheme="minorEastAsia" w:eastAsiaTheme="minorEastAsia"/>
          <w:b/>
          <w:color w:val="000000"/>
          <w:sz w:val="21"/>
          <w:szCs w:val="24"/>
          <w:lang w:val="en-US"/>
        </w:rPr>
        <w:t>10</w:t>
      </w:r>
      <w:r>
        <w:rPr>
          <w:rFonts w:hint="eastAsia" w:asciiTheme="minorEastAsia" w:hAnsiTheme="minorEastAsia" w:eastAsiaTheme="minorEastAsia"/>
          <w:b/>
          <w:color w:val="000000"/>
          <w:sz w:val="21"/>
          <w:szCs w:val="24"/>
          <w:lang w:val="en-US"/>
        </w:rPr>
        <w:t>万</w:t>
      </w:r>
      <w:r>
        <w:rPr>
          <w:rFonts w:hint="eastAsia" w:asciiTheme="minorEastAsia" w:hAnsiTheme="minorEastAsia" w:eastAsiaTheme="minorEastAsia"/>
          <w:b/>
          <w:color w:val="000000"/>
          <w:sz w:val="21"/>
          <w:szCs w:val="24"/>
        </w:rPr>
        <w:t>元。</w:t>
      </w:r>
    </w:p>
    <w:p>
      <w:pPr>
        <w:pStyle w:val="5"/>
        <w:spacing w:line="360" w:lineRule="auto"/>
        <w:ind w:left="0"/>
        <w:jc w:val="both"/>
        <w:rPr>
          <w:rFonts w:ascii="宋体" w:hAnsi="宋体" w:eastAsia="宋体"/>
          <w:color w:val="000000"/>
        </w:rPr>
      </w:pPr>
      <w:r>
        <w:rPr>
          <w:rFonts w:hint="eastAsia" w:ascii="宋体" w:hAnsi="宋体" w:eastAsia="宋体"/>
        </w:rPr>
        <w:t>5、</w:t>
      </w:r>
      <w:r>
        <w:rPr>
          <w:rFonts w:hint="eastAsia" w:ascii="宋体" w:hAnsi="宋体" w:eastAsia="宋体"/>
          <w:color w:val="000000"/>
        </w:rPr>
        <w:t>保证金:无。</w:t>
      </w:r>
    </w:p>
    <w:p>
      <w:pPr>
        <w:pStyle w:val="4"/>
        <w:ind w:firstLine="0"/>
        <w:rPr>
          <w:rFonts w:asciiTheme="minorEastAsia" w:hAnsiTheme="minorEastAsia" w:eastAsiaTheme="minorEastAsia"/>
          <w:color w:val="FF0000"/>
          <w:sz w:val="21"/>
          <w:szCs w:val="24"/>
        </w:rPr>
        <w:sectPr>
          <w:footerReference r:id="rId3" w:type="default"/>
          <w:pgSz w:w="11910" w:h="16840"/>
          <w:pgMar w:top="1080" w:right="860" w:bottom="1120" w:left="660" w:header="0" w:footer="937" w:gutter="0"/>
          <w:cols w:space="720" w:num="1"/>
        </w:sectPr>
      </w:pPr>
    </w:p>
    <w:p>
      <w:pPr>
        <w:pStyle w:val="5"/>
        <w:spacing w:before="217"/>
        <w:ind w:left="0"/>
        <w:rPr>
          <w:rFonts w:asciiTheme="minorEastAsia" w:hAnsiTheme="minorEastAsia" w:eastAsiaTheme="minorEastAsia"/>
        </w:rPr>
      </w:pPr>
      <w:r>
        <w:rPr>
          <w:rFonts w:asciiTheme="minorEastAsia" w:hAnsiTheme="minorEastAsia" w:eastAsiaTheme="minorEastAsia"/>
        </w:rPr>
        <w:t>四、投标文件的递交</w:t>
      </w:r>
    </w:p>
    <w:p>
      <w:pPr>
        <w:pStyle w:val="11"/>
        <w:spacing w:before="191"/>
        <w:ind w:left="532"/>
        <w:rPr>
          <w:rFonts w:asciiTheme="minorEastAsia" w:hAnsiTheme="minorEastAsia" w:eastAsiaTheme="minorEastAsia"/>
        </w:rPr>
      </w:pPr>
      <w:r>
        <w:rPr>
          <w:rFonts w:asciiTheme="minorEastAsia" w:hAnsiTheme="minorEastAsia" w:eastAsiaTheme="minorEastAsia"/>
        </w:rPr>
        <w:t>1、招标方于开标地点在</w:t>
      </w:r>
      <w:r>
        <w:rPr>
          <w:rFonts w:asciiTheme="minorEastAsia" w:hAnsiTheme="minorEastAsia" w:eastAsiaTheme="minorEastAsia"/>
          <w:u w:val="single"/>
        </w:rPr>
        <w:t>投标截止时间前半小时内接受标书</w:t>
      </w:r>
      <w:r>
        <w:rPr>
          <w:rFonts w:asciiTheme="minorEastAsia" w:hAnsiTheme="minorEastAsia" w:eastAsiaTheme="minorEastAsia"/>
        </w:rPr>
        <w:t>。</w:t>
      </w:r>
    </w:p>
    <w:p>
      <w:pPr>
        <w:pStyle w:val="11"/>
        <w:spacing w:before="91"/>
        <w:ind w:left="532"/>
        <w:rPr>
          <w:rFonts w:asciiTheme="minorEastAsia" w:hAnsiTheme="minorEastAsia" w:eastAsiaTheme="minorEastAsia"/>
        </w:rPr>
      </w:pPr>
      <w:r>
        <w:rPr>
          <w:rFonts w:asciiTheme="minorEastAsia" w:hAnsiTheme="minorEastAsia" w:eastAsiaTheme="minorEastAsia"/>
        </w:rPr>
        <w:t>2、投标人递交投标文件的方式为专人当面递交的方式。</w:t>
      </w:r>
    </w:p>
    <w:p>
      <w:pPr>
        <w:pStyle w:val="11"/>
        <w:spacing w:before="92"/>
        <w:ind w:left="532"/>
        <w:rPr>
          <w:rFonts w:asciiTheme="minorEastAsia" w:hAnsiTheme="minorEastAsia" w:eastAsiaTheme="minorEastAsia"/>
        </w:rPr>
      </w:pPr>
      <w:r>
        <w:rPr>
          <w:rFonts w:asciiTheme="minorEastAsia" w:hAnsiTheme="minorEastAsia" w:eastAsiaTheme="minorEastAsia"/>
        </w:rPr>
        <w:t>3、招标方将拒绝接收递交时间、密封情况等不符合要求的投标文件。</w:t>
      </w:r>
    </w:p>
    <w:p>
      <w:pPr>
        <w:pStyle w:val="11"/>
        <w:spacing w:before="90"/>
        <w:ind w:left="532"/>
        <w:rPr>
          <w:rFonts w:asciiTheme="minorEastAsia" w:hAnsiTheme="minorEastAsia" w:eastAsiaTheme="minorEastAsia"/>
        </w:rPr>
      </w:pPr>
      <w:r>
        <w:rPr>
          <w:rFonts w:asciiTheme="minorEastAsia" w:hAnsiTheme="minorEastAsia" w:eastAsiaTheme="minorEastAsia"/>
        </w:rPr>
        <w:t>4、投标文件填写字迹必须清楚、工整，对不同文字文本投标文件的解释发生异议的，以中文文本为准。</w:t>
      </w:r>
    </w:p>
    <w:p>
      <w:pPr>
        <w:pStyle w:val="5"/>
        <w:ind w:left="12"/>
        <w:rPr>
          <w:rFonts w:asciiTheme="minorEastAsia" w:hAnsiTheme="minorEastAsia" w:eastAsiaTheme="minorEastAsia"/>
        </w:rPr>
      </w:pPr>
      <w:r>
        <w:rPr>
          <w:rFonts w:asciiTheme="minorEastAsia" w:hAnsiTheme="minorEastAsia" w:eastAsiaTheme="minorEastAsia"/>
        </w:rPr>
        <w:t>五、无效投标的情形</w:t>
      </w:r>
    </w:p>
    <w:p>
      <w:pPr>
        <w:pStyle w:val="11"/>
        <w:spacing w:before="192" w:line="321" w:lineRule="auto"/>
        <w:ind w:left="532" w:right="5848"/>
        <w:rPr>
          <w:rFonts w:asciiTheme="minorEastAsia" w:hAnsiTheme="minorEastAsia" w:eastAsiaTheme="minorEastAsia"/>
        </w:rPr>
      </w:pPr>
      <w:r>
        <w:rPr>
          <w:rFonts w:asciiTheme="minorEastAsia" w:hAnsiTheme="minorEastAsia" w:eastAsiaTheme="minorEastAsia"/>
        </w:rPr>
        <w:t>发生下列情况之一的投标文件被视为无效： 1．投标报价超出项目最高单价限价的；</w:t>
      </w:r>
    </w:p>
    <w:p>
      <w:pPr>
        <w:pStyle w:val="27"/>
        <w:numPr>
          <w:ilvl w:val="0"/>
          <w:numId w:val="3"/>
        </w:numPr>
        <w:tabs>
          <w:tab w:val="left" w:pos="852"/>
        </w:tabs>
        <w:spacing w:line="268" w:lineRule="exact"/>
        <w:ind w:hanging="320"/>
        <w:rPr>
          <w:rFonts w:asciiTheme="minorEastAsia" w:hAnsiTheme="minorEastAsia" w:eastAsiaTheme="minorEastAsia"/>
          <w:sz w:val="21"/>
        </w:rPr>
      </w:pPr>
      <w:r>
        <w:rPr>
          <w:rFonts w:asciiTheme="minorEastAsia" w:hAnsiTheme="minorEastAsia" w:eastAsiaTheme="minorEastAsia"/>
          <w:spacing w:val="-3"/>
          <w:sz w:val="21"/>
        </w:rPr>
        <w:t>由于包装不妥，在送交途中严重破损或失散的投标文件；</w:t>
      </w:r>
    </w:p>
    <w:p>
      <w:pPr>
        <w:pStyle w:val="27"/>
        <w:numPr>
          <w:ilvl w:val="0"/>
          <w:numId w:val="3"/>
        </w:numPr>
        <w:tabs>
          <w:tab w:val="left" w:pos="852"/>
        </w:tabs>
        <w:spacing w:before="81" w:line="314" w:lineRule="auto"/>
        <w:ind w:left="112" w:right="456" w:firstLine="420"/>
        <w:rPr>
          <w:rFonts w:asciiTheme="minorEastAsia" w:hAnsiTheme="minorEastAsia" w:eastAsiaTheme="minorEastAsia"/>
          <w:sz w:val="21"/>
        </w:rPr>
      </w:pPr>
      <w:r>
        <w:rPr>
          <w:rFonts w:asciiTheme="minorEastAsia" w:hAnsiTheme="minorEastAsia" w:eastAsiaTheme="minorEastAsia"/>
          <w:spacing w:val="-3"/>
          <w:sz w:val="21"/>
        </w:rPr>
        <w:t>未按照招标文件要求盖章、</w:t>
      </w:r>
      <w:r>
        <w:rPr>
          <w:rFonts w:asciiTheme="minorEastAsia" w:hAnsiTheme="minorEastAsia" w:eastAsiaTheme="minorEastAsia"/>
          <w:spacing w:val="-2"/>
        </w:rPr>
        <w:t>签署姓名</w:t>
      </w:r>
      <w:r>
        <w:rPr>
          <w:rFonts w:asciiTheme="minorEastAsia" w:hAnsiTheme="minorEastAsia" w:eastAsiaTheme="minorEastAsia"/>
          <w:spacing w:val="-3"/>
          <w:sz w:val="21"/>
        </w:rPr>
        <w:t>；未装订或未按照招标文件规定的数量进行制作、未按照招标文件规定要求密封；投标承诺函、法定代表人授权书等有涂改的；</w:t>
      </w:r>
    </w:p>
    <w:p>
      <w:pPr>
        <w:pStyle w:val="27"/>
        <w:numPr>
          <w:ilvl w:val="0"/>
          <w:numId w:val="3"/>
        </w:numPr>
        <w:tabs>
          <w:tab w:val="left" w:pos="852"/>
        </w:tabs>
        <w:spacing w:before="8"/>
        <w:ind w:hanging="320"/>
        <w:rPr>
          <w:rFonts w:asciiTheme="minorEastAsia" w:hAnsiTheme="minorEastAsia" w:eastAsiaTheme="minorEastAsia"/>
          <w:sz w:val="21"/>
        </w:rPr>
      </w:pPr>
      <w:r>
        <w:rPr>
          <w:rFonts w:asciiTheme="minorEastAsia" w:hAnsiTheme="minorEastAsia" w:eastAsiaTheme="minorEastAsia"/>
          <w:spacing w:val="-3"/>
          <w:sz w:val="21"/>
        </w:rPr>
        <w:t>未能提供合格的资格文件；</w:t>
      </w:r>
    </w:p>
    <w:p>
      <w:pPr>
        <w:pStyle w:val="27"/>
        <w:numPr>
          <w:ilvl w:val="0"/>
          <w:numId w:val="3"/>
        </w:numPr>
        <w:tabs>
          <w:tab w:val="left" w:pos="852"/>
        </w:tabs>
        <w:spacing w:before="81"/>
        <w:ind w:hanging="320"/>
        <w:rPr>
          <w:rFonts w:asciiTheme="minorEastAsia" w:hAnsiTheme="minorEastAsia" w:eastAsiaTheme="minorEastAsia"/>
          <w:sz w:val="21"/>
        </w:rPr>
      </w:pPr>
      <w:r>
        <w:rPr>
          <w:rFonts w:asciiTheme="minorEastAsia" w:hAnsiTheme="minorEastAsia" w:eastAsiaTheme="minorEastAsia"/>
          <w:spacing w:val="-3"/>
        </w:rPr>
        <w:t>投标人未对招标文件内所要采购的全部内容进行报价的</w:t>
      </w:r>
      <w:r>
        <w:rPr>
          <w:rFonts w:asciiTheme="minorEastAsia" w:hAnsiTheme="minorEastAsia" w:eastAsiaTheme="minorEastAsia"/>
          <w:sz w:val="21"/>
        </w:rPr>
        <w:t>；</w:t>
      </w:r>
    </w:p>
    <w:p>
      <w:pPr>
        <w:pStyle w:val="27"/>
        <w:numPr>
          <w:ilvl w:val="0"/>
          <w:numId w:val="3"/>
        </w:numPr>
        <w:tabs>
          <w:tab w:val="left" w:pos="852"/>
        </w:tabs>
        <w:spacing w:before="89"/>
        <w:ind w:hanging="320"/>
        <w:rPr>
          <w:rFonts w:asciiTheme="minorEastAsia" w:hAnsiTheme="minorEastAsia" w:eastAsiaTheme="minorEastAsia"/>
          <w:sz w:val="21"/>
        </w:rPr>
      </w:pPr>
      <w:r>
        <w:rPr>
          <w:rFonts w:asciiTheme="minorEastAsia" w:hAnsiTheme="minorEastAsia" w:eastAsiaTheme="minorEastAsia"/>
          <w:spacing w:val="-3"/>
          <w:sz w:val="21"/>
        </w:rPr>
        <w:t>与招标文件有重大偏离的或未能实质性响应技术商务要求的；</w:t>
      </w:r>
    </w:p>
    <w:p>
      <w:pPr>
        <w:pStyle w:val="27"/>
        <w:numPr>
          <w:ilvl w:val="0"/>
          <w:numId w:val="3"/>
        </w:numPr>
        <w:tabs>
          <w:tab w:val="left" w:pos="852"/>
        </w:tabs>
        <w:spacing w:before="90"/>
        <w:ind w:hanging="320"/>
        <w:rPr>
          <w:rFonts w:asciiTheme="minorEastAsia" w:hAnsiTheme="minorEastAsia" w:eastAsiaTheme="minorEastAsia"/>
          <w:sz w:val="21"/>
        </w:rPr>
      </w:pPr>
      <w:r>
        <w:rPr>
          <w:rFonts w:asciiTheme="minorEastAsia" w:hAnsiTheme="minorEastAsia" w:eastAsiaTheme="minorEastAsia"/>
          <w:spacing w:val="-3"/>
          <w:sz w:val="21"/>
        </w:rPr>
        <w:t>投标保证金未按规定交纳或不足的</w:t>
      </w:r>
      <w:r>
        <w:rPr>
          <w:rFonts w:hint="eastAsia" w:asciiTheme="minorEastAsia" w:hAnsiTheme="minorEastAsia" w:eastAsiaTheme="minorEastAsia"/>
          <w:spacing w:val="-3"/>
          <w:sz w:val="21"/>
        </w:rPr>
        <w:t>（本项目不需缴纳投标保证金）</w:t>
      </w:r>
      <w:r>
        <w:rPr>
          <w:rFonts w:asciiTheme="minorEastAsia" w:hAnsiTheme="minorEastAsia" w:eastAsiaTheme="minorEastAsia"/>
          <w:spacing w:val="-3"/>
          <w:sz w:val="21"/>
        </w:rPr>
        <w:t>；</w:t>
      </w:r>
    </w:p>
    <w:p>
      <w:pPr>
        <w:pStyle w:val="27"/>
        <w:numPr>
          <w:ilvl w:val="0"/>
          <w:numId w:val="3"/>
        </w:numPr>
        <w:tabs>
          <w:tab w:val="left" w:pos="852"/>
        </w:tabs>
        <w:spacing w:before="91"/>
        <w:ind w:hanging="320"/>
        <w:rPr>
          <w:rFonts w:asciiTheme="minorEastAsia" w:hAnsiTheme="minorEastAsia" w:eastAsiaTheme="minorEastAsia"/>
          <w:sz w:val="21"/>
        </w:rPr>
      </w:pPr>
      <w:r>
        <w:rPr>
          <w:rFonts w:asciiTheme="minorEastAsia" w:hAnsiTheme="minorEastAsia" w:eastAsiaTheme="minorEastAsia"/>
          <w:spacing w:val="-3"/>
          <w:sz w:val="21"/>
        </w:rPr>
        <w:t>开标时投标供应商授权代表未到开标现场或授权代表不能提供相应身份证明的；</w:t>
      </w:r>
    </w:p>
    <w:p>
      <w:pPr>
        <w:pStyle w:val="27"/>
        <w:numPr>
          <w:ilvl w:val="0"/>
          <w:numId w:val="3"/>
        </w:numPr>
        <w:tabs>
          <w:tab w:val="left" w:pos="852"/>
        </w:tabs>
        <w:spacing w:before="91"/>
        <w:ind w:hanging="320"/>
        <w:rPr>
          <w:rFonts w:asciiTheme="minorEastAsia" w:hAnsiTheme="minorEastAsia" w:eastAsiaTheme="minorEastAsia"/>
          <w:sz w:val="21"/>
        </w:rPr>
      </w:pPr>
      <w:r>
        <w:rPr>
          <w:rFonts w:asciiTheme="minorEastAsia" w:hAnsiTheme="minorEastAsia" w:eastAsiaTheme="minorEastAsia"/>
          <w:spacing w:val="-3"/>
          <w:sz w:val="21"/>
        </w:rPr>
        <w:t>投标供应商在投标活动中提供任何虚假材料或从事其他违法活动的；</w:t>
      </w:r>
    </w:p>
    <w:p>
      <w:pPr>
        <w:pStyle w:val="27"/>
        <w:numPr>
          <w:ilvl w:val="0"/>
          <w:numId w:val="3"/>
        </w:numPr>
        <w:tabs>
          <w:tab w:val="left" w:pos="957"/>
        </w:tabs>
        <w:spacing w:before="91"/>
        <w:ind w:left="956" w:hanging="425"/>
        <w:rPr>
          <w:rFonts w:asciiTheme="minorEastAsia" w:hAnsiTheme="minorEastAsia" w:eastAsiaTheme="minorEastAsia"/>
          <w:sz w:val="21"/>
        </w:rPr>
      </w:pPr>
      <w:r>
        <w:rPr>
          <w:rFonts w:asciiTheme="minorEastAsia" w:hAnsiTheme="minorEastAsia" w:eastAsiaTheme="minorEastAsia"/>
          <w:spacing w:val="-3"/>
          <w:sz w:val="21"/>
        </w:rPr>
        <w:t>评标委员会认为其他不合理情况的；</w:t>
      </w:r>
    </w:p>
    <w:p>
      <w:pPr>
        <w:pStyle w:val="27"/>
        <w:numPr>
          <w:ilvl w:val="0"/>
          <w:numId w:val="3"/>
        </w:numPr>
        <w:tabs>
          <w:tab w:val="left" w:pos="957"/>
        </w:tabs>
        <w:spacing w:before="91"/>
        <w:ind w:left="956" w:hanging="425"/>
        <w:rPr>
          <w:rFonts w:asciiTheme="minorEastAsia" w:hAnsiTheme="minorEastAsia" w:eastAsiaTheme="minorEastAsia"/>
          <w:sz w:val="21"/>
        </w:rPr>
      </w:pPr>
      <w:r>
        <w:rPr>
          <w:rFonts w:asciiTheme="minorEastAsia" w:hAnsiTheme="minorEastAsia" w:eastAsiaTheme="minorEastAsia"/>
          <w:spacing w:val="-3"/>
          <w:sz w:val="21"/>
        </w:rPr>
        <w:t>不符合法律、法规和本招标文件规定的其他实质性要求的。</w:t>
      </w:r>
    </w:p>
    <w:p>
      <w:pPr>
        <w:pStyle w:val="5"/>
        <w:ind w:left="12"/>
        <w:rPr>
          <w:rFonts w:asciiTheme="minorEastAsia" w:hAnsiTheme="minorEastAsia" w:eastAsiaTheme="minorEastAsia"/>
        </w:rPr>
      </w:pPr>
      <w:r>
        <w:rPr>
          <w:rFonts w:asciiTheme="minorEastAsia" w:hAnsiTheme="minorEastAsia" w:eastAsiaTheme="minorEastAsia"/>
          <w:w w:val="95"/>
        </w:rPr>
        <w:t>六、变更为其他方式采购的情形</w:t>
      </w:r>
    </w:p>
    <w:p>
      <w:pPr>
        <w:spacing w:before="182" w:line="307" w:lineRule="auto"/>
        <w:ind w:left="472" w:right="270" w:firstLine="439"/>
        <w:rPr>
          <w:rFonts w:asciiTheme="minorEastAsia" w:hAnsiTheme="minorEastAsia" w:eastAsiaTheme="minorEastAsia"/>
        </w:rPr>
      </w:pPr>
      <w:r>
        <w:rPr>
          <w:rFonts w:asciiTheme="minorEastAsia" w:hAnsiTheme="minorEastAsia" w:eastAsiaTheme="minorEastAsia"/>
        </w:rPr>
        <w:t>投标截止时间出现如下情形的：参加投标的供应商不足3</w:t>
      </w:r>
      <w:r>
        <w:rPr>
          <w:rFonts w:asciiTheme="minorEastAsia" w:hAnsiTheme="minorEastAsia" w:eastAsiaTheme="minorEastAsia"/>
          <w:spacing w:val="-1"/>
        </w:rPr>
        <w:t>家的，或者评标中出现符合专业条件的</w:t>
      </w:r>
      <w:r>
        <w:rPr>
          <w:rFonts w:asciiTheme="minorEastAsia" w:hAnsiTheme="minorEastAsia" w:eastAsiaTheme="minorEastAsia"/>
          <w:spacing w:val="-3"/>
        </w:rPr>
        <w:t>供应商或对招标文件作实质响应的投标人不足</w:t>
      </w:r>
      <w:r>
        <w:rPr>
          <w:rFonts w:asciiTheme="minorEastAsia" w:hAnsiTheme="minorEastAsia" w:eastAsiaTheme="minorEastAsia"/>
        </w:rPr>
        <w:t>3</w:t>
      </w:r>
      <w:r>
        <w:rPr>
          <w:rFonts w:asciiTheme="minorEastAsia" w:hAnsiTheme="minorEastAsia" w:eastAsiaTheme="minorEastAsia"/>
          <w:spacing w:val="-3"/>
        </w:rPr>
        <w:t>家的，采购任务取消。</w:t>
      </w:r>
    </w:p>
    <w:p>
      <w:pPr>
        <w:spacing w:line="307" w:lineRule="auto"/>
        <w:rPr>
          <w:rFonts w:asciiTheme="minorEastAsia" w:hAnsiTheme="minorEastAsia" w:eastAsiaTheme="minorEastAsia"/>
        </w:rPr>
        <w:sectPr>
          <w:pgSz w:w="11910" w:h="16840"/>
          <w:pgMar w:top="1140" w:right="860" w:bottom="1120" w:left="660" w:header="0" w:footer="937" w:gutter="0"/>
          <w:cols w:space="720" w:num="1"/>
        </w:sectPr>
      </w:pPr>
    </w:p>
    <w:p>
      <w:pPr>
        <w:tabs>
          <w:tab w:val="left" w:pos="2441"/>
        </w:tabs>
        <w:spacing w:before="23"/>
        <w:ind w:left="12"/>
        <w:jc w:val="center"/>
        <w:rPr>
          <w:rFonts w:asciiTheme="minorEastAsia" w:hAnsiTheme="minorEastAsia" w:eastAsiaTheme="minorEastAsia"/>
          <w:b/>
          <w:sz w:val="44"/>
        </w:rPr>
      </w:pPr>
      <w:r>
        <w:rPr>
          <w:rFonts w:asciiTheme="minorEastAsia" w:hAnsiTheme="minorEastAsia" w:eastAsiaTheme="minorEastAsia"/>
          <w:b/>
          <w:sz w:val="44"/>
        </w:rPr>
        <w:t>第四部分</w:t>
      </w:r>
      <w:r>
        <w:rPr>
          <w:rFonts w:asciiTheme="minorEastAsia" w:hAnsiTheme="minorEastAsia" w:eastAsiaTheme="minorEastAsia"/>
          <w:b/>
          <w:sz w:val="44"/>
        </w:rPr>
        <w:tab/>
      </w:r>
      <w:r>
        <w:rPr>
          <w:rFonts w:asciiTheme="minorEastAsia" w:hAnsiTheme="minorEastAsia" w:eastAsiaTheme="minorEastAsia"/>
          <w:b/>
          <w:sz w:val="44"/>
        </w:rPr>
        <w:t>开评标</w:t>
      </w:r>
    </w:p>
    <w:p>
      <w:pPr>
        <w:spacing w:before="76"/>
        <w:ind w:left="12"/>
        <w:jc w:val="center"/>
        <w:rPr>
          <w:rFonts w:asciiTheme="minorEastAsia" w:hAnsiTheme="minorEastAsia" w:eastAsiaTheme="minorEastAsia"/>
          <w:b/>
          <w:sz w:val="28"/>
        </w:rPr>
      </w:pPr>
      <w:r>
        <w:rPr>
          <w:rFonts w:hint="eastAsia" w:asciiTheme="minorEastAsia" w:hAnsiTheme="minorEastAsia" w:eastAsiaTheme="minorEastAsia"/>
          <w:b/>
          <w:sz w:val="28"/>
        </w:rPr>
        <w:t>一、开评标程序</w:t>
      </w:r>
    </w:p>
    <w:p>
      <w:pPr>
        <w:spacing w:before="76"/>
        <w:ind w:left="12"/>
        <w:jc w:val="both"/>
        <w:rPr>
          <w:sz w:val="28"/>
        </w:rPr>
      </w:pPr>
      <w:r>
        <w:rPr>
          <w:rFonts w:hint="eastAsia"/>
          <w:sz w:val="28"/>
        </w:rPr>
        <w:t>1.招标人组织开标</w:t>
      </w:r>
    </w:p>
    <w:p>
      <w:pPr>
        <w:spacing w:line="360" w:lineRule="auto"/>
        <w:ind w:left="-360" w:firstLine="440" w:firstLineChars="200"/>
        <w:rPr>
          <w:szCs w:val="21"/>
        </w:rPr>
      </w:pPr>
      <w:r>
        <w:rPr>
          <w:rFonts w:hint="eastAsia"/>
          <w:szCs w:val="21"/>
        </w:rPr>
        <w:t>(1）招标方在招标文件规定的时间和地点公开开标，投标人的法定代表人或授权代表须持有效身份证参加开标会。</w:t>
      </w:r>
    </w:p>
    <w:p>
      <w:pPr>
        <w:spacing w:line="360" w:lineRule="auto"/>
        <w:ind w:left="-360" w:firstLine="440" w:firstLineChars="200"/>
        <w:rPr>
          <w:szCs w:val="21"/>
          <w:lang w:val="en-GB"/>
        </w:rPr>
      </w:pPr>
      <w:r>
        <w:rPr>
          <w:rFonts w:hint="eastAsia"/>
          <w:szCs w:val="21"/>
        </w:rPr>
        <w:t>(2)</w:t>
      </w:r>
      <w:r>
        <w:rPr>
          <w:rFonts w:hint="eastAsia"/>
          <w:szCs w:val="21"/>
          <w:lang w:val="en-GB"/>
        </w:rPr>
        <w:t>凡在投标、开标过程中，招标人已提示是否有异议的事项，投标人当时没有提出异议的，事后投标人不得针对上述事项提出质疑。</w:t>
      </w:r>
    </w:p>
    <w:p>
      <w:pPr>
        <w:spacing w:line="360" w:lineRule="auto"/>
        <w:ind w:left="-360" w:firstLine="440" w:firstLineChars="200"/>
        <w:rPr>
          <w:szCs w:val="21"/>
        </w:rPr>
      </w:pPr>
      <w:r>
        <w:rPr>
          <w:rFonts w:hint="eastAsia"/>
          <w:szCs w:val="21"/>
        </w:rPr>
        <w:t>(3)</w:t>
      </w:r>
      <w:r>
        <w:rPr>
          <w:rFonts w:hint="eastAsia"/>
          <w:szCs w:val="21"/>
          <w:lang w:val="en-GB"/>
        </w:rPr>
        <w:t>在投标、评标过程中，如果投标人联合故意抬高报价或出现其他不正当行为，招标人有权中止投标或评标。</w:t>
      </w:r>
    </w:p>
    <w:p>
      <w:pPr>
        <w:snapToGrid w:val="0"/>
        <w:spacing w:line="360" w:lineRule="auto"/>
        <w:rPr>
          <w:szCs w:val="21"/>
        </w:rPr>
      </w:pPr>
      <w:r>
        <w:rPr>
          <w:rFonts w:hint="eastAsia"/>
          <w:b/>
          <w:sz w:val="28"/>
        </w:rPr>
        <w:t>2.评委会</w:t>
      </w:r>
      <w:r>
        <w:rPr>
          <w:rFonts w:hint="eastAsia"/>
          <w:szCs w:val="21"/>
        </w:rPr>
        <w:t>由采购单位代表及相关领域的专家组成，对投标文件进行审查、质疑、评估、比较。评委会按照公平、公正、择优的原则进行独立评标。监督管理部门代表将监督开标的全过程。</w:t>
      </w:r>
    </w:p>
    <w:p>
      <w:pPr>
        <w:snapToGrid w:val="0"/>
        <w:spacing w:line="360" w:lineRule="auto"/>
        <w:rPr>
          <w:b/>
          <w:szCs w:val="28"/>
        </w:rPr>
      </w:pPr>
      <w:r>
        <w:rPr>
          <w:rFonts w:hint="eastAsia"/>
          <w:b/>
          <w:szCs w:val="28"/>
        </w:rPr>
        <w:t xml:space="preserve"> (1)评审内容     </w:t>
      </w:r>
    </w:p>
    <w:p>
      <w:pPr>
        <w:snapToGrid w:val="0"/>
        <w:spacing w:line="360" w:lineRule="auto"/>
        <w:ind w:firstLine="440" w:firstLineChars="200"/>
        <w:rPr>
          <w:szCs w:val="28"/>
        </w:rPr>
      </w:pPr>
      <w:r>
        <w:rPr>
          <w:rFonts w:hint="eastAsia"/>
          <w:szCs w:val="21"/>
        </w:rPr>
        <w:t>投标人的投标资格；投标文件是否完整；投标文件是否恰当地签署；是否作出实质性响应；是否有计算错误。</w:t>
      </w:r>
      <w:r>
        <w:rPr>
          <w:rFonts w:hint="eastAsia"/>
          <w:b/>
          <w:szCs w:val="28"/>
        </w:rPr>
        <w:t>评委评标只根据投标文件本身，而不寻求外部证据。</w:t>
      </w:r>
    </w:p>
    <w:p>
      <w:pPr>
        <w:snapToGrid w:val="0"/>
        <w:spacing w:line="360" w:lineRule="auto"/>
        <w:rPr>
          <w:b/>
          <w:bCs/>
          <w:szCs w:val="28"/>
        </w:rPr>
      </w:pPr>
      <w:r>
        <w:rPr>
          <w:rFonts w:hint="eastAsia"/>
          <w:b/>
          <w:bCs/>
          <w:szCs w:val="28"/>
        </w:rPr>
        <w:t>（2）相应的规定</w:t>
      </w:r>
    </w:p>
    <w:p>
      <w:pPr>
        <w:snapToGrid w:val="0"/>
        <w:spacing w:line="360" w:lineRule="auto"/>
        <w:ind w:firstLine="440" w:firstLineChars="200"/>
        <w:rPr>
          <w:szCs w:val="21"/>
        </w:rPr>
      </w:pPr>
      <w:r>
        <w:rPr>
          <w:rFonts w:hint="eastAsia"/>
          <w:szCs w:val="21"/>
        </w:rPr>
        <w:t>如果单价汇总金额与总价金额有出入，以单价金额计算结果为准；单价金额小数点有明显错位的，应以总价为准；正本与副本有矛盾的，以正本为准；若文件大写表示的数据与数字表示的有差别，以大写表示的数据为准。</w:t>
      </w:r>
    </w:p>
    <w:p>
      <w:pPr>
        <w:snapToGrid w:val="0"/>
        <w:spacing w:line="360" w:lineRule="auto"/>
        <w:rPr>
          <w:b/>
          <w:bCs/>
          <w:szCs w:val="28"/>
        </w:rPr>
      </w:pPr>
      <w:r>
        <w:rPr>
          <w:rFonts w:hint="eastAsia"/>
          <w:b/>
          <w:szCs w:val="28"/>
        </w:rPr>
        <w:t>（3） 陈述、演示、</w:t>
      </w:r>
      <w:r>
        <w:rPr>
          <w:rFonts w:hint="eastAsia"/>
          <w:b/>
          <w:bCs/>
          <w:szCs w:val="28"/>
        </w:rPr>
        <w:t>答疑、澄清</w:t>
      </w:r>
    </w:p>
    <w:p>
      <w:pPr>
        <w:pStyle w:val="4"/>
        <w:ind w:firstLine="0"/>
        <w:rPr>
          <w:szCs w:val="21"/>
        </w:rPr>
      </w:pPr>
      <w:r>
        <w:rPr>
          <w:rFonts w:hint="eastAsia"/>
          <w:szCs w:val="21"/>
        </w:rPr>
        <w:t>如评委会认为有必要，投标人按评委会的要求作陈述、演示、答疑及澄清其投标内容。时间由评委会掌握。重要澄清答复应是书面的，但不得对投标内容进行实质性修改。</w:t>
      </w:r>
    </w:p>
    <w:p>
      <w:pPr>
        <w:snapToGrid w:val="0"/>
        <w:spacing w:line="420" w:lineRule="exact"/>
        <w:outlineLvl w:val="2"/>
        <w:rPr>
          <w:b/>
          <w:bCs/>
        </w:rPr>
      </w:pPr>
      <w:r>
        <w:rPr>
          <w:rFonts w:hint="eastAsia" w:asciiTheme="minorEastAsia" w:hAnsiTheme="minorEastAsia" w:eastAsiaTheme="minorEastAsia"/>
          <w:lang w:val="en-US"/>
        </w:rPr>
        <w:t>3.</w:t>
      </w:r>
      <w:r>
        <w:rPr>
          <w:rFonts w:hint="eastAsia"/>
          <w:b/>
          <w:bCs/>
        </w:rPr>
        <w:t xml:space="preserve"> 竞争性磋商程序</w:t>
      </w:r>
    </w:p>
    <w:p>
      <w:pPr>
        <w:snapToGrid w:val="0"/>
        <w:spacing w:line="420" w:lineRule="exact"/>
        <w:ind w:firstLine="444" w:firstLineChars="202"/>
      </w:pPr>
      <w:r>
        <w:t>1.</w:t>
      </w:r>
      <w:r>
        <w:rPr>
          <w:rFonts w:hint="eastAsia"/>
        </w:rPr>
        <w:t>磋商小组依据《中华人民共和国政府采购法》、《政府采购竞争性磋商采购方式管理暂行办法》以及有关政府采购的相关法规，遵循</w:t>
      </w:r>
      <w:r>
        <w:t>“</w:t>
      </w:r>
      <w:r>
        <w:rPr>
          <w:rFonts w:hint="eastAsia"/>
        </w:rPr>
        <w:t>公开、公平、公正、择优、信用</w:t>
      </w:r>
      <w:r>
        <w:t>”</w:t>
      </w:r>
      <w:r>
        <w:rPr>
          <w:rFonts w:hint="eastAsia"/>
        </w:rPr>
        <w:t>的原则进行磋商评审。</w:t>
      </w:r>
    </w:p>
    <w:p>
      <w:pPr>
        <w:snapToGrid w:val="0"/>
        <w:spacing w:line="420" w:lineRule="exact"/>
        <w:ind w:firstLine="444" w:firstLineChars="202"/>
      </w:pPr>
      <w:r>
        <w:t>2.</w:t>
      </w:r>
      <w:r>
        <w:rPr>
          <w:rFonts w:hint="eastAsia"/>
        </w:rPr>
        <w:t>磋商小组将按照竞争性磋商文件的规定，只对资格审查合格的供应商的磋商响应文件进行评审和比较。</w:t>
      </w:r>
    </w:p>
    <w:p>
      <w:pPr>
        <w:snapToGrid w:val="0"/>
        <w:spacing w:line="420" w:lineRule="exact"/>
        <w:ind w:firstLine="444" w:firstLineChars="202"/>
      </w:pPr>
      <w:r>
        <w:t>3.</w:t>
      </w:r>
      <w:r>
        <w:rPr>
          <w:rFonts w:hint="eastAsia"/>
        </w:rPr>
        <w:t>磋商小组根据磋商文件规定的程序、评定成交的标准等事项与实质性响应磋商文件要求的供应商进行磋商。未实质性响应磋商文件要求的磋商响应文件按无效处理，磋商小组应当告知提交磋商响应文件的供应商。</w:t>
      </w:r>
    </w:p>
    <w:p>
      <w:pPr>
        <w:pStyle w:val="4"/>
        <w:ind w:firstLine="0"/>
        <w:rPr>
          <w:rFonts w:asciiTheme="minorEastAsia" w:hAnsiTheme="minorEastAsia" w:eastAsiaTheme="minorEastAsia"/>
          <w:lang w:val="en-US"/>
        </w:rPr>
      </w:pPr>
    </w:p>
    <w:p>
      <w:pPr>
        <w:pStyle w:val="5"/>
        <w:tabs>
          <w:tab w:val="left" w:pos="691"/>
        </w:tabs>
        <w:spacing w:before="49"/>
        <w:ind w:left="0"/>
        <w:jc w:val="both"/>
        <w:rPr>
          <w:rFonts w:asciiTheme="minorEastAsia" w:hAnsiTheme="minorEastAsia" w:eastAsiaTheme="minorEastAsia"/>
        </w:rPr>
      </w:pPr>
      <w:r>
        <w:rPr>
          <w:rFonts w:hint="eastAsia" w:asciiTheme="minorEastAsia" w:hAnsiTheme="minorEastAsia" w:eastAsiaTheme="minorEastAsia"/>
          <w:lang w:val="en-US"/>
        </w:rPr>
        <w:t>4.</w:t>
      </w:r>
      <w:r>
        <w:rPr>
          <w:rFonts w:asciiTheme="minorEastAsia" w:hAnsiTheme="minorEastAsia" w:eastAsiaTheme="minorEastAsia"/>
        </w:rPr>
        <w:t>中标通知</w:t>
      </w:r>
    </w:p>
    <w:p>
      <w:pPr>
        <w:snapToGrid w:val="0"/>
        <w:spacing w:line="360" w:lineRule="auto"/>
        <w:ind w:firstLine="440" w:firstLineChars="200"/>
        <w:rPr>
          <w:szCs w:val="21"/>
          <w:lang w:val="en-GB"/>
        </w:rPr>
      </w:pPr>
      <w:r>
        <w:rPr>
          <w:rFonts w:hint="eastAsia"/>
          <w:szCs w:val="21"/>
          <w:lang w:val="en-GB"/>
        </w:rPr>
        <w:t>（1）中标结果确定后，将在指定媒体上公示1个工作日。公示期满，如无异议的，由招标人向中标方签发《中标通知书》，《中标通知书》一经发出，即具有法律效力。采购人和成交供应商依法承担法律责任。</w:t>
      </w:r>
    </w:p>
    <w:p>
      <w:pPr>
        <w:snapToGrid w:val="0"/>
        <w:spacing w:line="360" w:lineRule="auto"/>
        <w:ind w:firstLine="440" w:firstLineChars="200"/>
      </w:pPr>
      <w:r>
        <w:rPr>
          <w:rFonts w:hint="eastAsia"/>
          <w:szCs w:val="21"/>
        </w:rPr>
        <w:t>（2）</w:t>
      </w:r>
      <w:r>
        <w:rPr>
          <w:rFonts w:hint="eastAsia"/>
          <w:szCs w:val="21"/>
          <w:lang w:val="en-GB"/>
        </w:rPr>
        <w:t>未收到中标通知的投标人默认为未中标人，招标人不再以其它方式另行通知。</w:t>
      </w:r>
    </w:p>
    <w:p>
      <w:pPr>
        <w:pStyle w:val="3"/>
      </w:pPr>
    </w:p>
    <w:p>
      <w:pPr>
        <w:pStyle w:val="3"/>
      </w:pPr>
      <w:r>
        <w:rPr>
          <w:rFonts w:hint="eastAsia"/>
        </w:rPr>
        <w:t>二、 评标办法</w:t>
      </w:r>
    </w:p>
    <w:p>
      <w:pPr>
        <w:adjustRightInd w:val="0"/>
        <w:snapToGrid w:val="0"/>
        <w:spacing w:line="360" w:lineRule="auto"/>
        <w:jc w:val="both"/>
        <w:rPr>
          <w:rFonts w:ascii="仿宋" w:hAnsi="仿宋" w:eastAsia="仿宋" w:cs="仿宋_GB2312"/>
          <w:b/>
          <w:bCs/>
          <w:sz w:val="24"/>
          <w:szCs w:val="24"/>
        </w:rPr>
      </w:pPr>
      <w:bookmarkStart w:id="1" w:name="_Toc52352456"/>
      <w:bookmarkStart w:id="2" w:name="_Toc25726409"/>
      <w:bookmarkStart w:id="3" w:name="_Toc25401332"/>
      <w:bookmarkStart w:id="4" w:name="_Toc26261456"/>
      <w:bookmarkStart w:id="5" w:name="_Toc25574120"/>
      <w:bookmarkStart w:id="6" w:name="_Toc25400536"/>
      <w:r>
        <w:rPr>
          <w:rFonts w:ascii="仿宋" w:hAnsi="仿宋" w:eastAsia="仿宋" w:cs="仿宋_GB2312"/>
          <w:b/>
          <w:bCs/>
          <w:sz w:val="24"/>
          <w:szCs w:val="24"/>
        </w:rPr>
        <w:t>评审标准</w:t>
      </w:r>
    </w:p>
    <w:p>
      <w:pPr>
        <w:adjustRightInd w:val="0"/>
        <w:snapToGrid w:val="0"/>
        <w:spacing w:line="360" w:lineRule="auto"/>
        <w:jc w:val="both"/>
        <w:rPr>
          <w:rFonts w:ascii="仿宋" w:hAnsi="仿宋" w:eastAsia="仿宋" w:cs="仿宋_GB2312"/>
          <w:b/>
          <w:bCs/>
          <w:sz w:val="24"/>
          <w:szCs w:val="24"/>
        </w:rPr>
      </w:pPr>
      <w:r>
        <w:rPr>
          <w:rFonts w:hint="eastAsia" w:ascii="仿宋" w:hAnsi="仿宋" w:eastAsia="仿宋" w:cs="仿宋_GB2312"/>
          <w:b/>
          <w:bCs/>
          <w:sz w:val="24"/>
          <w:szCs w:val="24"/>
        </w:rPr>
        <w:t>1、采用综合评分法，即在满足招标文件实质性要求前提下，按照招标文件中规定的评分标准和各项因素进行综合评审后，以评标总得分最高的投标人作为中标候选人。只对资格审查合格的供应商的磋商响应文件进行评审和比较。</w:t>
      </w:r>
    </w:p>
    <w:p>
      <w:pPr>
        <w:adjustRightInd w:val="0"/>
        <w:snapToGrid w:val="0"/>
        <w:spacing w:line="360" w:lineRule="auto"/>
        <w:jc w:val="both"/>
        <w:rPr>
          <w:rFonts w:ascii="仿宋" w:hAnsi="仿宋" w:eastAsia="仿宋" w:cs="仿宋_GB2312"/>
          <w:b/>
          <w:bCs/>
          <w:sz w:val="24"/>
          <w:szCs w:val="24"/>
        </w:rPr>
      </w:pPr>
      <w:r>
        <w:rPr>
          <w:rFonts w:hint="eastAsia" w:ascii="仿宋" w:hAnsi="仿宋" w:eastAsia="仿宋" w:cs="仿宋_GB2312"/>
          <w:b/>
          <w:bCs/>
          <w:sz w:val="24"/>
          <w:szCs w:val="24"/>
        </w:rPr>
        <w:t>2、对评委的评分（除价格分外）进行统计汇总，计算出每个投标人的算术平均值，加上价格得分即为每个投标人的综合得分。</w:t>
      </w:r>
    </w:p>
    <w:p>
      <w:pPr>
        <w:adjustRightInd w:val="0"/>
        <w:snapToGrid w:val="0"/>
        <w:spacing w:line="360" w:lineRule="auto"/>
        <w:jc w:val="both"/>
        <w:rPr>
          <w:rFonts w:ascii="仿宋" w:hAnsi="仿宋" w:eastAsia="仿宋" w:cs="仿宋_GB2312"/>
          <w:b/>
          <w:bCs/>
          <w:sz w:val="24"/>
          <w:szCs w:val="24"/>
        </w:rPr>
      </w:pPr>
      <w:r>
        <w:rPr>
          <w:rFonts w:hint="eastAsia" w:ascii="仿宋" w:hAnsi="仿宋" w:eastAsia="仿宋" w:cs="仿宋_GB2312"/>
          <w:b/>
          <w:bCs/>
          <w:sz w:val="24"/>
          <w:szCs w:val="24"/>
        </w:rPr>
        <w:t>3. 供应商的最后报价分统一采用低价优先法计算直接取得，与技术得分相加为磋商响应供应商的综合得分（四舍五入保留两位小数）。</w:t>
      </w:r>
    </w:p>
    <w:p>
      <w:pPr>
        <w:adjustRightInd w:val="0"/>
        <w:snapToGrid w:val="0"/>
        <w:spacing w:line="360" w:lineRule="auto"/>
        <w:jc w:val="both"/>
        <w:rPr>
          <w:rFonts w:ascii="仿宋" w:hAnsi="仿宋" w:eastAsia="仿宋" w:cs="仿宋_GB2312"/>
          <w:b/>
          <w:bCs/>
          <w:sz w:val="24"/>
          <w:szCs w:val="24"/>
        </w:rPr>
      </w:pPr>
      <w:r>
        <w:rPr>
          <w:rFonts w:hint="eastAsia" w:ascii="仿宋" w:hAnsi="仿宋" w:eastAsia="仿宋" w:cs="仿宋_GB2312"/>
          <w:b/>
          <w:bCs/>
          <w:sz w:val="24"/>
          <w:szCs w:val="24"/>
        </w:rPr>
        <w:t>4.总得分最高的即为中标候选人。</w:t>
      </w:r>
    </w:p>
    <w:p>
      <w:pPr>
        <w:adjustRightInd w:val="0"/>
        <w:snapToGrid w:val="0"/>
        <w:spacing w:line="360" w:lineRule="auto"/>
        <w:jc w:val="both"/>
        <w:rPr>
          <w:rFonts w:ascii="仿宋" w:hAnsi="仿宋" w:eastAsia="仿宋" w:cs="仿宋_GB2312"/>
          <w:b/>
          <w:bCs/>
          <w:sz w:val="24"/>
          <w:szCs w:val="24"/>
        </w:rPr>
      </w:pPr>
      <w:r>
        <w:rPr>
          <w:rFonts w:hint="eastAsia" w:ascii="仿宋" w:hAnsi="仿宋" w:eastAsia="仿宋" w:cs="仿宋_GB2312"/>
          <w:b/>
          <w:bCs/>
          <w:sz w:val="24"/>
          <w:szCs w:val="24"/>
        </w:rPr>
        <w:t>5.商务技术分：70分</w:t>
      </w:r>
    </w:p>
    <w:bookmarkEnd w:id="1"/>
    <w:bookmarkEnd w:id="2"/>
    <w:bookmarkEnd w:id="3"/>
    <w:bookmarkEnd w:id="4"/>
    <w:bookmarkEnd w:id="5"/>
    <w:bookmarkEnd w:id="6"/>
    <w:p>
      <w:pPr>
        <w:pStyle w:val="11"/>
        <w:rPr>
          <w:rFonts w:asciiTheme="minorEastAsia" w:hAnsiTheme="minorEastAsia" w:eastAsiaTheme="minorEastAsia"/>
          <w:sz w:val="20"/>
        </w:rPr>
      </w:pPr>
    </w:p>
    <w:tbl>
      <w:tblPr>
        <w:tblStyle w:val="23"/>
        <w:tblW w:w="9634" w:type="dxa"/>
        <w:tblInd w:w="113" w:type="dxa"/>
        <w:tblLayout w:type="fixed"/>
        <w:tblCellMar>
          <w:top w:w="0" w:type="dxa"/>
          <w:left w:w="108" w:type="dxa"/>
          <w:bottom w:w="0" w:type="dxa"/>
          <w:right w:w="108" w:type="dxa"/>
        </w:tblCellMar>
      </w:tblPr>
      <w:tblGrid>
        <w:gridCol w:w="846"/>
        <w:gridCol w:w="1487"/>
        <w:gridCol w:w="870"/>
        <w:gridCol w:w="6431"/>
      </w:tblGrid>
      <w:tr>
        <w:tblPrEx>
          <w:tblCellMar>
            <w:top w:w="0" w:type="dxa"/>
            <w:left w:w="108" w:type="dxa"/>
            <w:bottom w:w="0" w:type="dxa"/>
            <w:right w:w="108" w:type="dxa"/>
          </w:tblCellMar>
        </w:tblPrEx>
        <w:trPr>
          <w:trHeight w:val="480" w:hRule="atLeast"/>
        </w:trPr>
        <w:tc>
          <w:tcPr>
            <w:tcW w:w="846" w:type="dxa"/>
            <w:tcBorders>
              <w:top w:val="single" w:color="auto" w:sz="4" w:space="0"/>
              <w:left w:val="single" w:color="auto" w:sz="4" w:space="0"/>
              <w:bottom w:val="single" w:color="auto" w:sz="4" w:space="0"/>
              <w:right w:val="single" w:color="auto" w:sz="4" w:space="0"/>
            </w:tcBorders>
            <w:noWrap/>
            <w:vAlign w:val="center"/>
          </w:tcPr>
          <w:p>
            <w:pPr>
              <w:autoSpaceDE/>
              <w:autoSpaceDN/>
              <w:jc w:val="center"/>
              <w:rPr>
                <w:rFonts w:ascii="仿宋" w:hAnsi="仿宋" w:eastAsia="仿宋" w:cs="仿宋_GB2312"/>
                <w:bCs/>
                <w:sz w:val="24"/>
                <w:szCs w:val="24"/>
              </w:rPr>
            </w:pPr>
            <w:r>
              <w:rPr>
                <w:rFonts w:hint="eastAsia" w:ascii="仿宋" w:hAnsi="仿宋" w:eastAsia="仿宋" w:cs="仿宋_GB2312"/>
                <w:bCs/>
                <w:sz w:val="24"/>
                <w:szCs w:val="24"/>
              </w:rPr>
              <w:t>序号</w:t>
            </w:r>
          </w:p>
        </w:tc>
        <w:tc>
          <w:tcPr>
            <w:tcW w:w="1487" w:type="dxa"/>
            <w:tcBorders>
              <w:top w:val="single" w:color="auto" w:sz="4" w:space="0"/>
              <w:left w:val="nil"/>
              <w:bottom w:val="single" w:color="auto" w:sz="4" w:space="0"/>
              <w:right w:val="single" w:color="auto" w:sz="4" w:space="0"/>
            </w:tcBorders>
            <w:noWrap/>
            <w:vAlign w:val="center"/>
          </w:tcPr>
          <w:p>
            <w:pPr>
              <w:autoSpaceDE/>
              <w:autoSpaceDN/>
              <w:jc w:val="center"/>
              <w:rPr>
                <w:rFonts w:ascii="仿宋" w:hAnsi="仿宋" w:eastAsia="仿宋" w:cs="仿宋_GB2312"/>
                <w:bCs/>
                <w:sz w:val="24"/>
                <w:szCs w:val="24"/>
              </w:rPr>
            </w:pPr>
            <w:r>
              <w:rPr>
                <w:rFonts w:hint="eastAsia" w:ascii="仿宋" w:hAnsi="仿宋" w:eastAsia="仿宋" w:cs="仿宋_GB2312"/>
                <w:bCs/>
                <w:sz w:val="24"/>
                <w:szCs w:val="24"/>
              </w:rPr>
              <w:t>评分点名称</w:t>
            </w:r>
          </w:p>
        </w:tc>
        <w:tc>
          <w:tcPr>
            <w:tcW w:w="870" w:type="dxa"/>
            <w:tcBorders>
              <w:top w:val="single" w:color="auto" w:sz="4" w:space="0"/>
              <w:left w:val="nil"/>
              <w:bottom w:val="single" w:color="auto" w:sz="4" w:space="0"/>
              <w:right w:val="single" w:color="auto" w:sz="4" w:space="0"/>
            </w:tcBorders>
            <w:noWrap/>
            <w:vAlign w:val="center"/>
          </w:tcPr>
          <w:p>
            <w:pPr>
              <w:autoSpaceDE/>
              <w:autoSpaceDN/>
              <w:jc w:val="center"/>
              <w:rPr>
                <w:rFonts w:ascii="仿宋" w:hAnsi="仿宋" w:eastAsia="仿宋" w:cs="仿宋_GB2312"/>
                <w:bCs/>
                <w:sz w:val="24"/>
                <w:szCs w:val="24"/>
              </w:rPr>
            </w:pPr>
            <w:r>
              <w:rPr>
                <w:rFonts w:hint="eastAsia" w:ascii="仿宋" w:hAnsi="仿宋" w:eastAsia="仿宋" w:cs="仿宋_GB2312"/>
                <w:bCs/>
                <w:sz w:val="24"/>
                <w:szCs w:val="24"/>
              </w:rPr>
              <w:t>分值</w:t>
            </w:r>
          </w:p>
        </w:tc>
        <w:tc>
          <w:tcPr>
            <w:tcW w:w="6431" w:type="dxa"/>
            <w:tcBorders>
              <w:top w:val="single" w:color="auto" w:sz="4" w:space="0"/>
              <w:left w:val="nil"/>
              <w:bottom w:val="single" w:color="auto" w:sz="4" w:space="0"/>
              <w:right w:val="single" w:color="auto" w:sz="4" w:space="0"/>
            </w:tcBorders>
            <w:noWrap/>
            <w:vAlign w:val="center"/>
          </w:tcPr>
          <w:p>
            <w:pPr>
              <w:autoSpaceDE/>
              <w:autoSpaceDN/>
              <w:jc w:val="center"/>
              <w:rPr>
                <w:rFonts w:ascii="仿宋" w:hAnsi="仿宋" w:eastAsia="仿宋" w:cs="仿宋_GB2312"/>
                <w:bCs/>
                <w:sz w:val="24"/>
                <w:szCs w:val="24"/>
              </w:rPr>
            </w:pPr>
            <w:r>
              <w:rPr>
                <w:rFonts w:hint="eastAsia" w:ascii="仿宋" w:hAnsi="仿宋" w:eastAsia="仿宋" w:cs="仿宋_GB2312"/>
                <w:bCs/>
                <w:sz w:val="24"/>
                <w:szCs w:val="24"/>
              </w:rPr>
              <w:t>评分标准</w:t>
            </w:r>
          </w:p>
        </w:tc>
      </w:tr>
      <w:tr>
        <w:tblPrEx>
          <w:tblCellMar>
            <w:top w:w="0" w:type="dxa"/>
            <w:left w:w="108" w:type="dxa"/>
            <w:bottom w:w="0" w:type="dxa"/>
            <w:right w:w="108" w:type="dxa"/>
          </w:tblCellMar>
        </w:tblPrEx>
        <w:trPr>
          <w:trHeight w:val="722" w:hRule="atLeast"/>
        </w:trPr>
        <w:tc>
          <w:tcPr>
            <w:tcW w:w="84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 w:hAnsi="仿宋" w:eastAsia="仿宋" w:cs="仿宋_GB2312"/>
                <w:bCs/>
                <w:sz w:val="24"/>
                <w:szCs w:val="24"/>
              </w:rPr>
            </w:pPr>
            <w:r>
              <w:rPr>
                <w:rFonts w:hint="eastAsia" w:ascii="等线" w:hAnsi="等线" w:eastAsia="等线" w:cs="等线"/>
                <w:lang w:bidi="ar"/>
              </w:rPr>
              <w:t>1</w:t>
            </w:r>
          </w:p>
        </w:tc>
        <w:tc>
          <w:tcPr>
            <w:tcW w:w="1487"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仿宋" w:hAnsi="仿宋" w:eastAsia="仿宋" w:cs="仿宋_GB2312"/>
                <w:bCs/>
                <w:sz w:val="24"/>
                <w:szCs w:val="24"/>
              </w:rPr>
            </w:pPr>
            <w:r>
              <w:rPr>
                <w:rFonts w:hint="eastAsia" w:ascii="等线" w:hAnsi="等线" w:eastAsia="等线" w:cs="等线"/>
                <w:lang w:bidi="ar"/>
              </w:rPr>
              <w:t>公司能力1</w:t>
            </w:r>
          </w:p>
        </w:tc>
        <w:tc>
          <w:tcPr>
            <w:tcW w:w="870"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仿宋" w:hAnsi="仿宋" w:eastAsia="仿宋" w:cs="仿宋_GB2312"/>
                <w:bCs/>
                <w:sz w:val="24"/>
                <w:szCs w:val="24"/>
              </w:rPr>
            </w:pPr>
            <w:r>
              <w:rPr>
                <w:rFonts w:hint="eastAsia" w:ascii="等线" w:hAnsi="等线" w:eastAsia="等线" w:cs="等线"/>
                <w:lang w:bidi="ar"/>
              </w:rPr>
              <w:t>3</w:t>
            </w:r>
          </w:p>
        </w:tc>
        <w:tc>
          <w:tcPr>
            <w:tcW w:w="6431" w:type="dxa"/>
            <w:tcBorders>
              <w:top w:val="single" w:color="auto" w:sz="4" w:space="0"/>
              <w:left w:val="nil"/>
              <w:bottom w:val="single" w:color="auto" w:sz="4" w:space="0"/>
              <w:right w:val="single" w:color="auto" w:sz="4" w:space="0"/>
            </w:tcBorders>
            <w:noWrap/>
            <w:vAlign w:val="center"/>
          </w:tcPr>
          <w:p>
            <w:pPr>
              <w:widowControl/>
              <w:textAlignment w:val="center"/>
              <w:rPr>
                <w:rFonts w:ascii="仿宋" w:hAnsi="仿宋" w:eastAsia="仿宋" w:cs="仿宋_GB2312"/>
                <w:bCs/>
                <w:sz w:val="24"/>
                <w:szCs w:val="24"/>
              </w:rPr>
            </w:pPr>
            <w:r>
              <w:rPr>
                <w:rFonts w:hint="eastAsia" w:ascii="等线" w:hAnsi="等线" w:eastAsia="等线" w:cs="等线"/>
                <w:lang w:bidi="ar"/>
              </w:rPr>
              <w:t>投标供应商连续三年及以上在CNAS测评能力验证结果均为“满意”的得3分，否则不得分。提供证明材料复印件并加盖供应商公章。</w:t>
            </w:r>
          </w:p>
        </w:tc>
      </w:tr>
      <w:tr>
        <w:tblPrEx>
          <w:tblCellMar>
            <w:top w:w="0" w:type="dxa"/>
            <w:left w:w="108" w:type="dxa"/>
            <w:bottom w:w="0" w:type="dxa"/>
            <w:right w:w="108" w:type="dxa"/>
          </w:tblCellMar>
        </w:tblPrEx>
        <w:trPr>
          <w:trHeight w:val="936" w:hRule="atLeast"/>
        </w:trPr>
        <w:tc>
          <w:tcPr>
            <w:tcW w:w="84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 w:hAnsi="仿宋" w:eastAsia="仿宋" w:cs="仿宋_GB2312"/>
                <w:bCs/>
                <w:sz w:val="24"/>
                <w:szCs w:val="24"/>
              </w:rPr>
            </w:pPr>
            <w:r>
              <w:rPr>
                <w:rFonts w:hint="eastAsia" w:ascii="等线" w:hAnsi="等线" w:eastAsia="等线" w:cs="等线"/>
                <w:lang w:bidi="ar"/>
              </w:rPr>
              <w:t>2</w:t>
            </w:r>
          </w:p>
        </w:tc>
        <w:tc>
          <w:tcPr>
            <w:tcW w:w="1487"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仿宋" w:hAnsi="仿宋" w:eastAsia="仿宋" w:cs="仿宋_GB2312"/>
                <w:bCs/>
                <w:sz w:val="24"/>
                <w:szCs w:val="24"/>
              </w:rPr>
            </w:pPr>
            <w:r>
              <w:rPr>
                <w:rFonts w:hint="eastAsia" w:ascii="等线" w:hAnsi="等线" w:eastAsia="等线" w:cs="等线"/>
                <w:lang w:bidi="ar"/>
              </w:rPr>
              <w:t>公司能力2</w:t>
            </w:r>
          </w:p>
        </w:tc>
        <w:tc>
          <w:tcPr>
            <w:tcW w:w="870"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仿宋" w:hAnsi="仿宋" w:eastAsia="仿宋" w:cs="仿宋_GB2312"/>
                <w:bCs/>
                <w:sz w:val="24"/>
                <w:szCs w:val="24"/>
              </w:rPr>
            </w:pPr>
            <w:r>
              <w:rPr>
                <w:rFonts w:hint="eastAsia" w:ascii="等线" w:hAnsi="等线" w:eastAsia="等线" w:cs="等线"/>
                <w:lang w:bidi="ar"/>
              </w:rPr>
              <w:t>5</w:t>
            </w:r>
          </w:p>
        </w:tc>
        <w:tc>
          <w:tcPr>
            <w:tcW w:w="6431" w:type="dxa"/>
            <w:tcBorders>
              <w:top w:val="single" w:color="auto" w:sz="4" w:space="0"/>
              <w:left w:val="nil"/>
              <w:bottom w:val="single" w:color="auto" w:sz="4" w:space="0"/>
              <w:right w:val="single" w:color="auto" w:sz="4" w:space="0"/>
            </w:tcBorders>
            <w:noWrap/>
            <w:vAlign w:val="center"/>
          </w:tcPr>
          <w:p>
            <w:pPr>
              <w:widowControl/>
              <w:textAlignment w:val="center"/>
              <w:rPr>
                <w:rFonts w:ascii="仿宋" w:hAnsi="仿宋" w:eastAsia="仿宋" w:cs="仿宋_GB2312"/>
                <w:bCs/>
                <w:sz w:val="24"/>
                <w:szCs w:val="24"/>
              </w:rPr>
            </w:pPr>
            <w:r>
              <w:rPr>
                <w:rFonts w:hint="eastAsia" w:ascii="等线" w:hAnsi="等线" w:eastAsia="等线" w:cs="等线"/>
                <w:lang w:bidi="ar"/>
              </w:rPr>
              <w:t>投标供应商与信息安全等级保护关键技术国家工程实验室或分实验室在网络安全方面有合作的得5分，否则不得分。提供证明材料复印件并加盖供应商公章。</w:t>
            </w:r>
          </w:p>
        </w:tc>
      </w:tr>
      <w:tr>
        <w:tblPrEx>
          <w:tblCellMar>
            <w:top w:w="0" w:type="dxa"/>
            <w:left w:w="108" w:type="dxa"/>
            <w:bottom w:w="0" w:type="dxa"/>
            <w:right w:w="108" w:type="dxa"/>
          </w:tblCellMar>
        </w:tblPrEx>
        <w:trPr>
          <w:trHeight w:val="808" w:hRule="atLeast"/>
        </w:trPr>
        <w:tc>
          <w:tcPr>
            <w:tcW w:w="84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 w:hAnsi="仿宋" w:eastAsia="仿宋" w:cs="仿宋_GB2312"/>
                <w:bCs/>
                <w:sz w:val="24"/>
                <w:szCs w:val="24"/>
              </w:rPr>
            </w:pPr>
            <w:r>
              <w:rPr>
                <w:rFonts w:hint="eastAsia" w:ascii="等线" w:hAnsi="等线" w:eastAsia="等线" w:cs="等线"/>
                <w:lang w:bidi="ar"/>
              </w:rPr>
              <w:t>3</w:t>
            </w:r>
          </w:p>
        </w:tc>
        <w:tc>
          <w:tcPr>
            <w:tcW w:w="1487"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仿宋" w:hAnsi="仿宋" w:eastAsia="仿宋" w:cs="仿宋_GB2312"/>
                <w:bCs/>
                <w:sz w:val="24"/>
                <w:szCs w:val="24"/>
              </w:rPr>
            </w:pPr>
            <w:r>
              <w:rPr>
                <w:rFonts w:hint="eastAsia" w:ascii="等线" w:hAnsi="等线" w:eastAsia="等线" w:cs="等线"/>
                <w:lang w:bidi="ar"/>
              </w:rPr>
              <w:t>公司资质1</w:t>
            </w:r>
          </w:p>
        </w:tc>
        <w:tc>
          <w:tcPr>
            <w:tcW w:w="870"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仿宋" w:hAnsi="仿宋" w:eastAsia="仿宋" w:cs="仿宋_GB2312"/>
                <w:bCs/>
                <w:sz w:val="24"/>
                <w:szCs w:val="24"/>
              </w:rPr>
            </w:pPr>
            <w:r>
              <w:rPr>
                <w:rFonts w:hint="eastAsia" w:ascii="等线" w:hAnsi="等线" w:eastAsia="等线" w:cs="等线"/>
                <w:lang w:bidi="ar"/>
              </w:rPr>
              <w:t>3</w:t>
            </w:r>
          </w:p>
        </w:tc>
        <w:tc>
          <w:tcPr>
            <w:tcW w:w="6431" w:type="dxa"/>
            <w:tcBorders>
              <w:top w:val="single" w:color="auto" w:sz="4" w:space="0"/>
              <w:left w:val="nil"/>
              <w:bottom w:val="single" w:color="auto" w:sz="4" w:space="0"/>
              <w:right w:val="single" w:color="auto" w:sz="4" w:space="0"/>
            </w:tcBorders>
            <w:noWrap/>
            <w:vAlign w:val="center"/>
          </w:tcPr>
          <w:p>
            <w:pPr>
              <w:widowControl/>
              <w:textAlignment w:val="center"/>
              <w:rPr>
                <w:rFonts w:ascii="仿宋" w:hAnsi="仿宋" w:eastAsia="仿宋" w:cs="仿宋_GB2312"/>
                <w:bCs/>
                <w:sz w:val="24"/>
                <w:szCs w:val="24"/>
              </w:rPr>
            </w:pPr>
            <w:r>
              <w:rPr>
                <w:rFonts w:hint="eastAsia" w:ascii="等线" w:hAnsi="等线" w:eastAsia="等线" w:cs="等线"/>
                <w:lang w:bidi="ar"/>
              </w:rPr>
              <w:t>具有中国网络安全审查技术与认证中心（CCRC）颁发的信息安全风险评估服务资质的得3分，否则不得分。提供证明材料复印件并加盖供应商公章。</w:t>
            </w:r>
          </w:p>
        </w:tc>
      </w:tr>
      <w:tr>
        <w:tblPrEx>
          <w:tblCellMar>
            <w:top w:w="0" w:type="dxa"/>
            <w:left w:w="108" w:type="dxa"/>
            <w:bottom w:w="0" w:type="dxa"/>
            <w:right w:w="108" w:type="dxa"/>
          </w:tblCellMar>
        </w:tblPrEx>
        <w:trPr>
          <w:trHeight w:val="807" w:hRule="atLeast"/>
        </w:trPr>
        <w:tc>
          <w:tcPr>
            <w:tcW w:w="84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 w:hAnsi="仿宋" w:eastAsia="仿宋" w:cs="仿宋_GB2312"/>
                <w:bCs/>
                <w:sz w:val="24"/>
                <w:szCs w:val="24"/>
              </w:rPr>
            </w:pPr>
            <w:r>
              <w:rPr>
                <w:rFonts w:hint="eastAsia" w:ascii="等线" w:hAnsi="等线" w:eastAsia="等线" w:cs="等线"/>
                <w:lang w:bidi="ar"/>
              </w:rPr>
              <w:t>4</w:t>
            </w:r>
          </w:p>
        </w:tc>
        <w:tc>
          <w:tcPr>
            <w:tcW w:w="1487"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仿宋" w:hAnsi="仿宋" w:eastAsia="仿宋" w:cs="仿宋_GB2312"/>
                <w:bCs/>
                <w:sz w:val="24"/>
                <w:szCs w:val="24"/>
              </w:rPr>
            </w:pPr>
            <w:r>
              <w:rPr>
                <w:rFonts w:hint="eastAsia" w:ascii="等线" w:hAnsi="等线" w:eastAsia="等线" w:cs="等线"/>
                <w:lang w:bidi="ar"/>
              </w:rPr>
              <w:t>公司资质2</w:t>
            </w:r>
          </w:p>
        </w:tc>
        <w:tc>
          <w:tcPr>
            <w:tcW w:w="870"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仿宋" w:hAnsi="仿宋" w:eastAsia="仿宋" w:cs="仿宋_GB2312"/>
                <w:bCs/>
                <w:sz w:val="24"/>
                <w:szCs w:val="24"/>
              </w:rPr>
            </w:pPr>
            <w:r>
              <w:rPr>
                <w:rFonts w:hint="eastAsia" w:ascii="等线" w:hAnsi="等线" w:eastAsia="等线" w:cs="等线"/>
                <w:lang w:val="en-US" w:bidi="ar"/>
              </w:rPr>
              <w:t>1</w:t>
            </w:r>
          </w:p>
        </w:tc>
        <w:tc>
          <w:tcPr>
            <w:tcW w:w="6431" w:type="dxa"/>
            <w:tcBorders>
              <w:top w:val="single" w:color="auto" w:sz="4" w:space="0"/>
              <w:left w:val="nil"/>
              <w:bottom w:val="single" w:color="auto" w:sz="4" w:space="0"/>
              <w:right w:val="single" w:color="auto" w:sz="4" w:space="0"/>
            </w:tcBorders>
            <w:noWrap/>
            <w:vAlign w:val="center"/>
          </w:tcPr>
          <w:p>
            <w:pPr>
              <w:widowControl/>
              <w:textAlignment w:val="center"/>
              <w:rPr>
                <w:rFonts w:ascii="仿宋" w:hAnsi="仿宋" w:eastAsia="仿宋" w:cs="仿宋_GB2312"/>
                <w:bCs/>
                <w:sz w:val="24"/>
                <w:szCs w:val="24"/>
              </w:rPr>
            </w:pPr>
            <w:r>
              <w:rPr>
                <w:rFonts w:hint="eastAsia" w:ascii="等线" w:hAnsi="等线" w:eastAsia="等线" w:cs="等线"/>
                <w:lang w:bidi="ar"/>
              </w:rPr>
              <w:t>具有ISO27001网络安全管理体系认证证书的得</w:t>
            </w:r>
            <w:r>
              <w:rPr>
                <w:rFonts w:hint="eastAsia" w:ascii="等线" w:hAnsi="等线" w:eastAsia="等线" w:cs="等线"/>
                <w:lang w:val="en-US" w:bidi="ar"/>
              </w:rPr>
              <w:t>3</w:t>
            </w:r>
            <w:r>
              <w:rPr>
                <w:rFonts w:hint="eastAsia" w:ascii="等线" w:hAnsi="等线" w:eastAsia="等线" w:cs="等线"/>
                <w:lang w:bidi="ar"/>
              </w:rPr>
              <w:t>分（认证范围必须含：等级保护测评），否则不得分。提供证明材料复印件并加盖供应商公章。</w:t>
            </w:r>
          </w:p>
        </w:tc>
      </w:tr>
      <w:tr>
        <w:tblPrEx>
          <w:tblCellMar>
            <w:top w:w="0" w:type="dxa"/>
            <w:left w:w="108" w:type="dxa"/>
            <w:bottom w:w="0" w:type="dxa"/>
            <w:right w:w="108" w:type="dxa"/>
          </w:tblCellMar>
        </w:tblPrEx>
        <w:trPr>
          <w:trHeight w:val="807" w:hRule="atLeast"/>
        </w:trPr>
        <w:tc>
          <w:tcPr>
            <w:tcW w:w="84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 w:hAnsi="仿宋" w:eastAsia="仿宋" w:cs="仿宋_GB2312"/>
                <w:bCs/>
                <w:sz w:val="24"/>
                <w:szCs w:val="24"/>
              </w:rPr>
            </w:pPr>
            <w:r>
              <w:rPr>
                <w:rFonts w:hint="eastAsia" w:ascii="等线" w:hAnsi="等线" w:eastAsia="等线" w:cs="等线"/>
                <w:lang w:bidi="ar"/>
              </w:rPr>
              <w:t>5</w:t>
            </w:r>
          </w:p>
        </w:tc>
        <w:tc>
          <w:tcPr>
            <w:tcW w:w="1487"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仿宋" w:hAnsi="仿宋" w:eastAsia="仿宋" w:cs="仿宋_GB2312"/>
                <w:bCs/>
                <w:sz w:val="24"/>
                <w:szCs w:val="24"/>
              </w:rPr>
            </w:pPr>
            <w:r>
              <w:rPr>
                <w:rFonts w:hint="eastAsia" w:ascii="等线" w:hAnsi="等线" w:eastAsia="等线" w:cs="等线"/>
                <w:lang w:bidi="ar"/>
              </w:rPr>
              <w:t>公司资质3</w:t>
            </w:r>
          </w:p>
        </w:tc>
        <w:tc>
          <w:tcPr>
            <w:tcW w:w="870"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仿宋" w:hAnsi="仿宋" w:eastAsia="仿宋" w:cs="仿宋_GB2312"/>
                <w:bCs/>
                <w:sz w:val="24"/>
                <w:szCs w:val="24"/>
              </w:rPr>
            </w:pPr>
            <w:r>
              <w:rPr>
                <w:rFonts w:hint="eastAsia" w:ascii="等线" w:hAnsi="等线" w:eastAsia="等线" w:cs="等线"/>
                <w:lang w:val="en-US" w:bidi="ar"/>
              </w:rPr>
              <w:t>1</w:t>
            </w:r>
          </w:p>
        </w:tc>
        <w:tc>
          <w:tcPr>
            <w:tcW w:w="6431" w:type="dxa"/>
            <w:tcBorders>
              <w:top w:val="single" w:color="auto" w:sz="4" w:space="0"/>
              <w:left w:val="nil"/>
              <w:bottom w:val="single" w:color="auto" w:sz="4" w:space="0"/>
              <w:right w:val="single" w:color="auto" w:sz="4" w:space="0"/>
            </w:tcBorders>
            <w:noWrap/>
            <w:vAlign w:val="center"/>
          </w:tcPr>
          <w:p>
            <w:pPr>
              <w:widowControl/>
              <w:textAlignment w:val="center"/>
              <w:rPr>
                <w:rFonts w:ascii="仿宋" w:hAnsi="仿宋" w:eastAsia="仿宋" w:cs="仿宋_GB2312"/>
                <w:bCs/>
                <w:sz w:val="24"/>
                <w:szCs w:val="24"/>
              </w:rPr>
            </w:pPr>
            <w:r>
              <w:rPr>
                <w:rFonts w:hint="eastAsia" w:ascii="等线" w:hAnsi="等线" w:eastAsia="等线" w:cs="等线"/>
                <w:lang w:bidi="ar"/>
              </w:rPr>
              <w:t>具有ISO9001质量管理体系认证证书的得</w:t>
            </w:r>
            <w:r>
              <w:rPr>
                <w:rFonts w:hint="eastAsia" w:ascii="等线" w:hAnsi="等线" w:eastAsia="等线" w:cs="等线"/>
                <w:lang w:val="en-US" w:bidi="ar"/>
              </w:rPr>
              <w:t>3</w:t>
            </w:r>
            <w:r>
              <w:rPr>
                <w:rFonts w:hint="eastAsia" w:ascii="等线" w:hAnsi="等线" w:eastAsia="等线" w:cs="等线"/>
                <w:lang w:bidi="ar"/>
              </w:rPr>
              <w:t>分（认证范围必须含：等级保护测评），否则不得分。提供证明材料复印件并加盖供应商公章。</w:t>
            </w:r>
          </w:p>
        </w:tc>
      </w:tr>
      <w:tr>
        <w:tblPrEx>
          <w:tblCellMar>
            <w:top w:w="0" w:type="dxa"/>
            <w:left w:w="108" w:type="dxa"/>
            <w:bottom w:w="0" w:type="dxa"/>
            <w:right w:w="108" w:type="dxa"/>
          </w:tblCellMar>
        </w:tblPrEx>
        <w:trPr>
          <w:trHeight w:val="807" w:hRule="atLeast"/>
        </w:trPr>
        <w:tc>
          <w:tcPr>
            <w:tcW w:w="84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 w:hAnsi="仿宋" w:eastAsia="仿宋" w:cs="仿宋_GB2312"/>
                <w:bCs/>
                <w:sz w:val="24"/>
                <w:szCs w:val="24"/>
              </w:rPr>
            </w:pPr>
            <w:r>
              <w:rPr>
                <w:rFonts w:hint="eastAsia" w:ascii="等线" w:hAnsi="等线" w:eastAsia="等线" w:cs="等线"/>
                <w:lang w:bidi="ar"/>
              </w:rPr>
              <w:t>6</w:t>
            </w:r>
          </w:p>
        </w:tc>
        <w:tc>
          <w:tcPr>
            <w:tcW w:w="1487"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仿宋" w:hAnsi="仿宋" w:eastAsia="仿宋" w:cs="仿宋_GB2312"/>
                <w:bCs/>
                <w:sz w:val="24"/>
                <w:szCs w:val="24"/>
              </w:rPr>
            </w:pPr>
            <w:r>
              <w:rPr>
                <w:rFonts w:hint="eastAsia" w:ascii="等线" w:hAnsi="等线" w:eastAsia="等线" w:cs="等线"/>
                <w:lang w:bidi="ar"/>
              </w:rPr>
              <w:t>人员要求1</w:t>
            </w:r>
          </w:p>
        </w:tc>
        <w:tc>
          <w:tcPr>
            <w:tcW w:w="870"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仿宋" w:hAnsi="仿宋" w:eastAsia="仿宋" w:cs="仿宋_GB2312"/>
                <w:bCs/>
                <w:sz w:val="24"/>
                <w:szCs w:val="24"/>
              </w:rPr>
            </w:pPr>
            <w:r>
              <w:rPr>
                <w:rFonts w:hint="eastAsia" w:ascii="等线" w:hAnsi="等线" w:eastAsia="等线" w:cs="等线"/>
                <w:lang w:bidi="ar"/>
              </w:rPr>
              <w:t>3</w:t>
            </w:r>
          </w:p>
        </w:tc>
        <w:tc>
          <w:tcPr>
            <w:tcW w:w="6431" w:type="dxa"/>
            <w:tcBorders>
              <w:top w:val="single" w:color="auto" w:sz="4" w:space="0"/>
              <w:left w:val="nil"/>
              <w:bottom w:val="single" w:color="auto" w:sz="4" w:space="0"/>
              <w:right w:val="single" w:color="auto" w:sz="4" w:space="0"/>
            </w:tcBorders>
            <w:noWrap/>
            <w:vAlign w:val="center"/>
          </w:tcPr>
          <w:p>
            <w:pPr>
              <w:widowControl/>
              <w:textAlignment w:val="center"/>
              <w:rPr>
                <w:rFonts w:ascii="仿宋" w:hAnsi="仿宋" w:eastAsia="仿宋" w:cs="仿宋_GB2312"/>
                <w:bCs/>
                <w:sz w:val="24"/>
                <w:szCs w:val="24"/>
              </w:rPr>
            </w:pPr>
            <w:r>
              <w:rPr>
                <w:rFonts w:hint="eastAsia" w:ascii="等线" w:hAnsi="等线" w:eastAsia="等线" w:cs="等线"/>
                <w:lang w:bidi="ar"/>
              </w:rPr>
              <w:t>项目经理有CISSP认证的得3分。提供2023年</w:t>
            </w:r>
            <w:r>
              <w:rPr>
                <w:rFonts w:ascii="等线" w:hAnsi="等线" w:eastAsia="等线" w:cs="等线"/>
                <w:lang w:bidi="ar"/>
              </w:rPr>
              <w:t>8</w:t>
            </w:r>
            <w:r>
              <w:rPr>
                <w:rFonts w:hint="eastAsia" w:ascii="等线" w:hAnsi="等线" w:eastAsia="等线" w:cs="等线"/>
                <w:lang w:bidi="ar"/>
              </w:rPr>
              <w:t>月</w:t>
            </w:r>
            <w:r>
              <w:rPr>
                <w:rFonts w:ascii="等线" w:hAnsi="等线" w:eastAsia="等线" w:cs="等线"/>
                <w:lang w:bidi="ar"/>
              </w:rPr>
              <w:t>-10</w:t>
            </w:r>
            <w:r>
              <w:rPr>
                <w:rFonts w:hint="eastAsia" w:ascii="等线" w:hAnsi="等线" w:eastAsia="等线" w:cs="等线"/>
                <w:lang w:bidi="ar"/>
              </w:rPr>
              <w:t>月社保部门出具的供应商为其缴纳养老保险缴纳证明材料并加盖单位公章。</w:t>
            </w:r>
          </w:p>
        </w:tc>
      </w:tr>
      <w:tr>
        <w:tblPrEx>
          <w:tblCellMar>
            <w:top w:w="0" w:type="dxa"/>
            <w:left w:w="108" w:type="dxa"/>
            <w:bottom w:w="0" w:type="dxa"/>
            <w:right w:w="108" w:type="dxa"/>
          </w:tblCellMar>
        </w:tblPrEx>
        <w:trPr>
          <w:trHeight w:val="807" w:hRule="atLeast"/>
        </w:trPr>
        <w:tc>
          <w:tcPr>
            <w:tcW w:w="84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 w:hAnsi="仿宋" w:eastAsia="仿宋" w:cs="仿宋_GB2312"/>
                <w:bCs/>
                <w:sz w:val="24"/>
                <w:szCs w:val="24"/>
              </w:rPr>
            </w:pPr>
            <w:r>
              <w:rPr>
                <w:rFonts w:hint="eastAsia" w:ascii="等线" w:hAnsi="等线" w:eastAsia="等线" w:cs="等线"/>
                <w:lang w:bidi="ar"/>
              </w:rPr>
              <w:t>7</w:t>
            </w:r>
          </w:p>
        </w:tc>
        <w:tc>
          <w:tcPr>
            <w:tcW w:w="1487"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仿宋" w:hAnsi="仿宋" w:eastAsia="仿宋" w:cs="仿宋_GB2312"/>
                <w:bCs/>
                <w:sz w:val="24"/>
                <w:szCs w:val="24"/>
              </w:rPr>
            </w:pPr>
            <w:r>
              <w:rPr>
                <w:rFonts w:hint="eastAsia" w:ascii="等线" w:hAnsi="等线" w:eastAsia="等线" w:cs="等线"/>
                <w:lang w:bidi="ar"/>
              </w:rPr>
              <w:t>人员要求2</w:t>
            </w:r>
          </w:p>
        </w:tc>
        <w:tc>
          <w:tcPr>
            <w:tcW w:w="870"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仿宋" w:hAnsi="仿宋" w:eastAsia="仿宋" w:cs="仿宋_GB2312"/>
                <w:bCs/>
                <w:sz w:val="24"/>
                <w:szCs w:val="24"/>
              </w:rPr>
            </w:pPr>
            <w:r>
              <w:rPr>
                <w:rFonts w:hint="eastAsia" w:ascii="等线" w:hAnsi="等线" w:eastAsia="等线" w:cs="等线"/>
                <w:lang w:bidi="ar"/>
              </w:rPr>
              <w:t>6</w:t>
            </w:r>
          </w:p>
        </w:tc>
        <w:tc>
          <w:tcPr>
            <w:tcW w:w="6431" w:type="dxa"/>
            <w:tcBorders>
              <w:top w:val="single" w:color="auto" w:sz="4" w:space="0"/>
              <w:left w:val="nil"/>
              <w:bottom w:val="single" w:color="auto" w:sz="4" w:space="0"/>
              <w:right w:val="single" w:color="auto" w:sz="4" w:space="0"/>
            </w:tcBorders>
            <w:noWrap/>
            <w:vAlign w:val="center"/>
          </w:tcPr>
          <w:p>
            <w:pPr>
              <w:widowControl/>
              <w:textAlignment w:val="center"/>
              <w:rPr>
                <w:rFonts w:ascii="仿宋" w:hAnsi="仿宋" w:eastAsia="仿宋" w:cs="仿宋_GB2312"/>
                <w:bCs/>
                <w:sz w:val="24"/>
                <w:szCs w:val="24"/>
              </w:rPr>
            </w:pPr>
            <w:r>
              <w:rPr>
                <w:rFonts w:hint="eastAsia" w:ascii="等线" w:hAnsi="等线" w:eastAsia="等线" w:cs="等线"/>
                <w:lang w:bidi="ar"/>
              </w:rPr>
              <w:t>除项目经理外，本项目拟派团队中持有高级测评师</w:t>
            </w:r>
            <w:r>
              <w:rPr>
                <w:rFonts w:hint="eastAsia" w:ascii="等线" w:hAnsi="等线" w:eastAsia="等线" w:cs="等线"/>
                <w:lang w:val="en-US" w:eastAsia="zh-CN" w:bidi="ar"/>
              </w:rPr>
              <w:t>的</w:t>
            </w:r>
            <w:r>
              <w:rPr>
                <w:rFonts w:hint="eastAsia" w:ascii="等线" w:hAnsi="等线" w:eastAsia="等线" w:cs="等线"/>
                <w:lang w:bidi="ar"/>
              </w:rPr>
              <w:t>得6分。提供近2023年</w:t>
            </w:r>
            <w:r>
              <w:rPr>
                <w:rFonts w:ascii="等线" w:hAnsi="等线" w:eastAsia="等线" w:cs="等线"/>
                <w:lang w:bidi="ar"/>
              </w:rPr>
              <w:t>8</w:t>
            </w:r>
            <w:r>
              <w:rPr>
                <w:rFonts w:hint="eastAsia" w:ascii="等线" w:hAnsi="等线" w:eastAsia="等线" w:cs="等线"/>
                <w:lang w:bidi="ar"/>
              </w:rPr>
              <w:t>月</w:t>
            </w:r>
            <w:r>
              <w:rPr>
                <w:rFonts w:ascii="等线" w:hAnsi="等线" w:eastAsia="等线" w:cs="等线"/>
                <w:lang w:bidi="ar"/>
              </w:rPr>
              <w:t>-10</w:t>
            </w:r>
            <w:r>
              <w:rPr>
                <w:rFonts w:hint="eastAsia" w:ascii="等线" w:hAnsi="等线" w:eastAsia="等线" w:cs="等线"/>
                <w:lang w:bidi="ar"/>
              </w:rPr>
              <w:t>月社保部门出具的供应商为其缴纳养老保险缴纳证明材料并加盖单位公章。</w:t>
            </w:r>
            <w:bookmarkStart w:id="7" w:name="_GoBack"/>
            <w:bookmarkEnd w:id="7"/>
          </w:p>
        </w:tc>
      </w:tr>
      <w:tr>
        <w:tblPrEx>
          <w:tblCellMar>
            <w:top w:w="0" w:type="dxa"/>
            <w:left w:w="108" w:type="dxa"/>
            <w:bottom w:w="0" w:type="dxa"/>
            <w:right w:w="108" w:type="dxa"/>
          </w:tblCellMar>
        </w:tblPrEx>
        <w:trPr>
          <w:trHeight w:val="693" w:hRule="atLeast"/>
        </w:trPr>
        <w:tc>
          <w:tcPr>
            <w:tcW w:w="84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 w:hAnsi="仿宋" w:eastAsia="仿宋" w:cs="仿宋_GB2312"/>
                <w:bCs/>
                <w:sz w:val="24"/>
                <w:szCs w:val="24"/>
              </w:rPr>
            </w:pPr>
            <w:r>
              <w:rPr>
                <w:rFonts w:hint="eastAsia" w:ascii="等线" w:hAnsi="等线" w:eastAsia="等线" w:cs="等线"/>
                <w:lang w:bidi="ar"/>
              </w:rPr>
              <w:t>8</w:t>
            </w:r>
          </w:p>
        </w:tc>
        <w:tc>
          <w:tcPr>
            <w:tcW w:w="148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 w:hAnsi="仿宋" w:eastAsia="仿宋" w:cs="仿宋_GB2312"/>
                <w:bCs/>
                <w:sz w:val="24"/>
                <w:szCs w:val="24"/>
              </w:rPr>
            </w:pPr>
            <w:r>
              <w:rPr>
                <w:rFonts w:hint="eastAsia" w:ascii="等线" w:hAnsi="等线" w:eastAsia="等线" w:cs="等线"/>
                <w:lang w:bidi="ar"/>
              </w:rPr>
              <w:t>人员要求3</w:t>
            </w:r>
          </w:p>
        </w:tc>
        <w:tc>
          <w:tcPr>
            <w:tcW w:w="87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 w:hAnsi="仿宋" w:eastAsia="仿宋" w:cs="仿宋_GB2312"/>
                <w:bCs/>
                <w:sz w:val="24"/>
                <w:szCs w:val="24"/>
              </w:rPr>
            </w:pPr>
            <w:r>
              <w:rPr>
                <w:rFonts w:hint="eastAsia" w:ascii="等线" w:hAnsi="等线" w:eastAsia="等线" w:cs="等线"/>
                <w:lang w:bidi="ar"/>
              </w:rPr>
              <w:t>3</w:t>
            </w:r>
          </w:p>
        </w:tc>
        <w:tc>
          <w:tcPr>
            <w:tcW w:w="6431"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s="仿宋_GB2312"/>
                <w:bCs/>
                <w:sz w:val="24"/>
                <w:szCs w:val="24"/>
              </w:rPr>
            </w:pPr>
            <w:r>
              <w:rPr>
                <w:rFonts w:hint="eastAsia" w:ascii="等线" w:hAnsi="等线" w:eastAsia="等线" w:cs="等线"/>
                <w:lang w:bidi="ar"/>
              </w:rPr>
              <w:t>除项目经理外，本项目拟派团队中持有重要信息系统安全等级保护培训证书（CIIP-T），每人得1分，最高得3分。提供2023年</w:t>
            </w:r>
            <w:r>
              <w:rPr>
                <w:rFonts w:ascii="等线" w:hAnsi="等线" w:eastAsia="等线" w:cs="等线"/>
                <w:lang w:bidi="ar"/>
              </w:rPr>
              <w:t>8</w:t>
            </w:r>
            <w:r>
              <w:rPr>
                <w:rFonts w:hint="eastAsia" w:ascii="等线" w:hAnsi="等线" w:eastAsia="等线" w:cs="等线"/>
                <w:lang w:bidi="ar"/>
              </w:rPr>
              <w:t>月-</w:t>
            </w:r>
            <w:r>
              <w:rPr>
                <w:rFonts w:ascii="等线" w:hAnsi="等线" w:eastAsia="等线" w:cs="等线"/>
                <w:lang w:bidi="ar"/>
              </w:rPr>
              <w:t>10</w:t>
            </w:r>
            <w:r>
              <w:rPr>
                <w:rFonts w:hint="eastAsia" w:ascii="等线" w:hAnsi="等线" w:eastAsia="等线" w:cs="等线"/>
                <w:lang w:bidi="ar"/>
              </w:rPr>
              <w:t>月社保部门出具的供应商为其缴纳养老保险缴纳证明材料并加盖单位公章。</w:t>
            </w:r>
          </w:p>
        </w:tc>
      </w:tr>
      <w:tr>
        <w:tblPrEx>
          <w:tblCellMar>
            <w:top w:w="0" w:type="dxa"/>
            <w:left w:w="108" w:type="dxa"/>
            <w:bottom w:w="0" w:type="dxa"/>
            <w:right w:w="108" w:type="dxa"/>
          </w:tblCellMar>
        </w:tblPrEx>
        <w:trPr>
          <w:trHeight w:val="900" w:hRule="atLeast"/>
        </w:trPr>
        <w:tc>
          <w:tcPr>
            <w:tcW w:w="84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 w:hAnsi="仿宋" w:eastAsia="仿宋" w:cs="仿宋_GB2312"/>
                <w:bCs/>
                <w:sz w:val="24"/>
                <w:szCs w:val="24"/>
              </w:rPr>
            </w:pPr>
            <w:r>
              <w:rPr>
                <w:rFonts w:hint="eastAsia" w:ascii="等线" w:hAnsi="等线" w:eastAsia="等线" w:cs="等线"/>
                <w:lang w:bidi="ar"/>
              </w:rPr>
              <w:t>9</w:t>
            </w:r>
          </w:p>
        </w:tc>
        <w:tc>
          <w:tcPr>
            <w:tcW w:w="148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 w:hAnsi="仿宋" w:eastAsia="仿宋" w:cs="仿宋_GB2312"/>
                <w:bCs/>
                <w:sz w:val="24"/>
                <w:szCs w:val="24"/>
              </w:rPr>
            </w:pPr>
            <w:r>
              <w:rPr>
                <w:rFonts w:hint="eastAsia" w:ascii="等线" w:hAnsi="等线" w:eastAsia="等线" w:cs="等线"/>
                <w:lang w:bidi="ar"/>
              </w:rPr>
              <w:t>等保案例</w:t>
            </w:r>
          </w:p>
        </w:tc>
        <w:tc>
          <w:tcPr>
            <w:tcW w:w="87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 w:hAnsi="仿宋" w:eastAsia="仿宋" w:cs="仿宋_GB2312"/>
                <w:bCs/>
                <w:sz w:val="24"/>
                <w:szCs w:val="24"/>
              </w:rPr>
            </w:pPr>
            <w:r>
              <w:rPr>
                <w:rFonts w:hint="eastAsia" w:ascii="等线" w:hAnsi="等线" w:eastAsia="等线" w:cs="等线"/>
                <w:lang w:bidi="ar"/>
              </w:rPr>
              <w:t>15</w:t>
            </w:r>
          </w:p>
        </w:tc>
        <w:tc>
          <w:tcPr>
            <w:tcW w:w="6431"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s="仿宋_GB2312"/>
                <w:bCs/>
                <w:sz w:val="24"/>
                <w:szCs w:val="24"/>
              </w:rPr>
            </w:pPr>
            <w:r>
              <w:rPr>
                <w:rFonts w:hint="eastAsia" w:ascii="等线" w:hAnsi="等线" w:eastAsia="等线" w:cs="等线"/>
                <w:lang w:bidi="ar"/>
              </w:rPr>
              <w:t>投标供应商提供2018年以来网络安全等级保护测评案例：每个案例得3分，最高得15分。提供合同复印件并加盖投标供应商公章。</w:t>
            </w:r>
          </w:p>
        </w:tc>
      </w:tr>
      <w:tr>
        <w:tblPrEx>
          <w:tblCellMar>
            <w:top w:w="0" w:type="dxa"/>
            <w:left w:w="108" w:type="dxa"/>
            <w:bottom w:w="0" w:type="dxa"/>
            <w:right w:w="108" w:type="dxa"/>
          </w:tblCellMar>
        </w:tblPrEx>
        <w:trPr>
          <w:trHeight w:val="445" w:hRule="atLeast"/>
        </w:trPr>
        <w:tc>
          <w:tcPr>
            <w:tcW w:w="84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 w:hAnsi="仿宋" w:eastAsia="仿宋" w:cs="仿宋_GB2312"/>
                <w:bCs/>
                <w:sz w:val="24"/>
                <w:szCs w:val="24"/>
              </w:rPr>
            </w:pPr>
            <w:r>
              <w:rPr>
                <w:rFonts w:ascii="等线" w:hAnsi="等线" w:eastAsia="等线" w:cs="等线"/>
                <w:lang w:val="en-US" w:bidi="ar"/>
              </w:rPr>
              <w:t>10</w:t>
            </w:r>
          </w:p>
        </w:tc>
        <w:tc>
          <w:tcPr>
            <w:tcW w:w="148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 w:hAnsi="仿宋" w:eastAsia="等线" w:cs="仿宋_GB2312"/>
                <w:bCs/>
                <w:sz w:val="24"/>
                <w:szCs w:val="24"/>
                <w:lang w:val="en-US"/>
              </w:rPr>
            </w:pPr>
            <w:r>
              <w:rPr>
                <w:rFonts w:ascii="等线" w:hAnsi="等线" w:eastAsia="等线" w:cs="等线"/>
                <w:lang w:val="en-US" w:bidi="ar"/>
              </w:rPr>
              <w:t>测评方案</w:t>
            </w:r>
            <w:r>
              <w:rPr>
                <w:rFonts w:hint="eastAsia" w:ascii="等线" w:hAnsi="等线" w:eastAsia="等线" w:cs="等线"/>
                <w:lang w:val="en-US" w:bidi="ar"/>
              </w:rPr>
              <w:t>1</w:t>
            </w:r>
          </w:p>
        </w:tc>
        <w:tc>
          <w:tcPr>
            <w:tcW w:w="87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 w:hAnsi="仿宋" w:eastAsia="仿宋" w:cs="仿宋_GB2312"/>
                <w:bCs/>
                <w:sz w:val="24"/>
                <w:szCs w:val="24"/>
                <w:lang w:val="en-US"/>
              </w:rPr>
            </w:pPr>
            <w:r>
              <w:rPr>
                <w:rFonts w:hint="eastAsia" w:ascii="等线" w:hAnsi="等线" w:eastAsia="等线" w:cs="等线"/>
                <w:lang w:val="en-US" w:bidi="ar"/>
              </w:rPr>
              <w:t>15</w:t>
            </w:r>
          </w:p>
        </w:tc>
        <w:tc>
          <w:tcPr>
            <w:tcW w:w="6431"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等线" w:cs="仿宋_GB2312"/>
                <w:bCs/>
                <w:sz w:val="24"/>
                <w:szCs w:val="24"/>
                <w:lang w:val="en-US"/>
              </w:rPr>
            </w:pPr>
            <w:r>
              <w:rPr>
                <w:rFonts w:ascii="等线" w:hAnsi="等线" w:eastAsia="等线" w:cs="等线"/>
                <w:lang w:val="en-US" w:bidi="ar"/>
              </w:rPr>
              <w:t>评委根据服务供应商所提供的方案的评测内容、评测方法、评测标准、评测流程、风险控制措施等进行评审：方案内容详细，方法科学合理，严格安照标准，流程风险控制很好的，得15分；方案内容较为详细，方法较为科学合理，严格安照标准，流程风险控制较好的，得11分；内容一般，方法不够科学合理，严格安照标准，流程风险控制一般的，得7分；方案内容简单、不详细，方法不够科学合理，严格安照标准，流程风险控制较差</w:t>
            </w:r>
            <w:r>
              <w:rPr>
                <w:rFonts w:hint="eastAsia" w:ascii="等线" w:hAnsi="等线" w:eastAsia="等线" w:cs="等线"/>
                <w:lang w:val="en-US" w:bidi="ar"/>
              </w:rPr>
              <w:t>，</w:t>
            </w:r>
            <w:r>
              <w:rPr>
                <w:rFonts w:ascii="等线" w:hAnsi="等线" w:eastAsia="等线" w:cs="等线"/>
                <w:lang w:val="en-US" w:bidi="ar"/>
              </w:rPr>
              <w:t>得</w:t>
            </w:r>
            <w:r>
              <w:rPr>
                <w:rFonts w:hint="eastAsia" w:ascii="等线" w:hAnsi="等线" w:eastAsia="等线" w:cs="等线"/>
                <w:lang w:val="en-US" w:bidi="ar"/>
              </w:rPr>
              <w:t>3</w:t>
            </w:r>
            <w:r>
              <w:rPr>
                <w:rFonts w:ascii="等线" w:hAnsi="等线" w:eastAsia="等线" w:cs="等线"/>
                <w:lang w:val="en-US" w:bidi="ar"/>
              </w:rPr>
              <w:t>分</w:t>
            </w:r>
            <w:r>
              <w:rPr>
                <w:rFonts w:hint="eastAsia" w:ascii="等线" w:hAnsi="等线" w:eastAsia="等线" w:cs="等线"/>
                <w:lang w:val="en-US" w:bidi="ar"/>
              </w:rPr>
              <w:t>；不提供不得分。</w:t>
            </w:r>
          </w:p>
        </w:tc>
      </w:tr>
      <w:tr>
        <w:tblPrEx>
          <w:tblCellMar>
            <w:top w:w="0" w:type="dxa"/>
            <w:left w:w="108" w:type="dxa"/>
            <w:bottom w:w="0" w:type="dxa"/>
            <w:right w:w="108" w:type="dxa"/>
          </w:tblCellMar>
        </w:tblPrEx>
        <w:trPr>
          <w:trHeight w:val="445" w:hRule="atLeast"/>
        </w:trPr>
        <w:tc>
          <w:tcPr>
            <w:tcW w:w="84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等线" w:hAnsi="等线" w:eastAsia="等线" w:cs="等线"/>
                <w:lang w:val="en-US" w:bidi="ar"/>
              </w:rPr>
            </w:pPr>
            <w:r>
              <w:rPr>
                <w:rFonts w:hint="eastAsia" w:ascii="等线" w:hAnsi="等线" w:eastAsia="等线" w:cs="等线"/>
                <w:lang w:val="en-US" w:bidi="ar"/>
              </w:rPr>
              <w:t>11</w:t>
            </w:r>
          </w:p>
        </w:tc>
        <w:tc>
          <w:tcPr>
            <w:tcW w:w="148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等线" w:hAnsi="等线" w:eastAsia="等线" w:cs="等线"/>
                <w:lang w:val="en-US" w:bidi="ar"/>
              </w:rPr>
            </w:pPr>
            <w:r>
              <w:rPr>
                <w:rFonts w:ascii="等线" w:hAnsi="等线" w:eastAsia="等线" w:cs="等线"/>
                <w:lang w:val="en-US" w:bidi="ar"/>
              </w:rPr>
              <w:t>测评方案</w:t>
            </w:r>
            <w:r>
              <w:rPr>
                <w:rFonts w:hint="eastAsia" w:ascii="等线" w:hAnsi="等线" w:eastAsia="等线" w:cs="等线"/>
                <w:lang w:val="en-US" w:bidi="ar"/>
              </w:rPr>
              <w:t>2</w:t>
            </w:r>
          </w:p>
        </w:tc>
        <w:tc>
          <w:tcPr>
            <w:tcW w:w="87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等线" w:hAnsi="等线" w:eastAsia="等线" w:cs="等线"/>
                <w:lang w:val="en-US" w:bidi="ar"/>
              </w:rPr>
            </w:pPr>
            <w:r>
              <w:rPr>
                <w:rFonts w:hint="eastAsia" w:ascii="等线" w:hAnsi="等线" w:eastAsia="等线" w:cs="等线"/>
                <w:lang w:val="en-US" w:bidi="ar"/>
              </w:rPr>
              <w:t>15</w:t>
            </w:r>
          </w:p>
        </w:tc>
        <w:tc>
          <w:tcPr>
            <w:tcW w:w="6431"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等线" w:hAnsi="等线" w:eastAsia="等线" w:cs="等线"/>
                <w:lang w:val="en-US" w:bidi="ar"/>
              </w:rPr>
            </w:pPr>
            <w:r>
              <w:rPr>
                <w:rFonts w:ascii="等线" w:hAnsi="等线" w:eastAsia="等线" w:cs="等线"/>
                <w:lang w:val="en-US" w:bidi="ar"/>
              </w:rPr>
              <w:t>评委根据服务供应商所提供的计划、人员、工具及承诺等情况进行评审：计划、人员及工具安排合理、详细，符合项目需求的，得15分；计划、人员及工具安排较为合理、详细，比较符合项目需求的，得11分；计划、人员及工具安排一般、不够详细，与项目需求的还有一定差距的，得7分；方案不完善、粗疏、简陋的，得3分</w:t>
            </w:r>
            <w:r>
              <w:rPr>
                <w:rFonts w:hint="eastAsia" w:ascii="等线" w:hAnsi="等线" w:eastAsia="等线" w:cs="等线"/>
                <w:lang w:val="en-US" w:bidi="ar"/>
              </w:rPr>
              <w:t>，不提供不得分。</w:t>
            </w:r>
            <w:r>
              <w:rPr>
                <w:rFonts w:ascii="等线" w:hAnsi="等线" w:eastAsia="等线" w:cs="等线"/>
                <w:lang w:val="en-US" w:bidi="ar"/>
              </w:rPr>
              <w:t>。</w:t>
            </w:r>
          </w:p>
        </w:tc>
      </w:tr>
      <w:tr>
        <w:tblPrEx>
          <w:tblCellMar>
            <w:top w:w="0" w:type="dxa"/>
            <w:left w:w="108" w:type="dxa"/>
            <w:bottom w:w="0" w:type="dxa"/>
            <w:right w:w="108" w:type="dxa"/>
          </w:tblCellMar>
        </w:tblPrEx>
        <w:trPr>
          <w:trHeight w:val="900" w:hRule="atLeast"/>
        </w:trPr>
        <w:tc>
          <w:tcPr>
            <w:tcW w:w="9634" w:type="dxa"/>
            <w:gridSpan w:val="4"/>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both"/>
              <w:rPr>
                <w:rFonts w:ascii="Times New Roman" w:hAnsi="Times New Roman" w:cs="Times New Roman"/>
                <w:b/>
                <w:kern w:val="2"/>
                <w:sz w:val="24"/>
                <w:szCs w:val="24"/>
                <w:lang w:val="en-US" w:bidi="ar-SA"/>
              </w:rPr>
            </w:pPr>
            <w:r>
              <w:rPr>
                <w:rFonts w:hint="eastAsia" w:ascii="仿宋" w:hAnsi="仿宋" w:eastAsia="仿宋" w:cs="仿宋_GB2312"/>
                <w:b/>
                <w:bCs/>
                <w:sz w:val="24"/>
                <w:szCs w:val="24"/>
              </w:rPr>
              <w:t>注：现场收取供应商在规定时间内提交的最后报价（表）后，告知所有供应商的技术标得分，然后唱报供应商的最后报价。</w:t>
            </w:r>
          </w:p>
        </w:tc>
      </w:tr>
    </w:tbl>
    <w:p>
      <w:pPr>
        <w:adjustRightInd w:val="0"/>
        <w:snapToGrid w:val="0"/>
        <w:spacing w:line="360" w:lineRule="auto"/>
        <w:jc w:val="both"/>
        <w:rPr>
          <w:rFonts w:ascii="仿宋" w:hAnsi="仿宋" w:eastAsia="仿宋" w:cs="仿宋_GB2312"/>
          <w:b/>
          <w:bCs/>
          <w:sz w:val="24"/>
          <w:szCs w:val="24"/>
        </w:rPr>
      </w:pPr>
      <w:r>
        <w:rPr>
          <w:rFonts w:hint="eastAsia" w:ascii="仿宋" w:hAnsi="仿宋" w:eastAsia="仿宋" w:cs="仿宋_GB2312"/>
          <w:b/>
          <w:bCs/>
          <w:sz w:val="24"/>
          <w:szCs w:val="24"/>
        </w:rPr>
        <w:t>5、价格分：30分</w:t>
      </w:r>
    </w:p>
    <w:p>
      <w:pPr>
        <w:adjustRightInd w:val="0"/>
        <w:snapToGrid w:val="0"/>
        <w:spacing w:line="360" w:lineRule="auto"/>
        <w:jc w:val="both"/>
        <w:rPr>
          <w:rFonts w:ascii="仿宋" w:hAnsi="仿宋" w:eastAsia="仿宋" w:cs="仿宋_GB2312"/>
          <w:b/>
          <w:bCs/>
          <w:sz w:val="24"/>
          <w:szCs w:val="24"/>
        </w:rPr>
      </w:pPr>
      <w:r>
        <w:rPr>
          <w:rFonts w:hint="eastAsia" w:ascii="仿宋" w:hAnsi="仿宋" w:eastAsia="仿宋" w:cs="仿宋_GB2312"/>
          <w:b/>
          <w:bCs/>
          <w:sz w:val="24"/>
          <w:szCs w:val="24"/>
        </w:rPr>
        <w:t>综合评分法中的价格分统一采用低价优先法计算，即满足磋商文件要求且最后报价最低的供应商的价格为磋商基准价，其价格分为满分。其他供应商的价格分统一按照下列公式计算：</w:t>
      </w:r>
    </w:p>
    <w:p>
      <w:pPr>
        <w:adjustRightInd w:val="0"/>
        <w:snapToGrid w:val="0"/>
        <w:spacing w:line="360" w:lineRule="auto"/>
        <w:jc w:val="both"/>
        <w:rPr>
          <w:rFonts w:ascii="仿宋" w:hAnsi="仿宋" w:eastAsia="仿宋" w:cs="仿宋_GB2312"/>
          <w:b/>
          <w:bCs/>
          <w:sz w:val="24"/>
          <w:szCs w:val="24"/>
        </w:rPr>
      </w:pPr>
      <w:r>
        <w:rPr>
          <w:rFonts w:hint="eastAsia" w:ascii="仿宋" w:hAnsi="仿宋" w:eastAsia="仿宋" w:cs="仿宋_GB2312"/>
          <w:b/>
          <w:bCs/>
          <w:sz w:val="24"/>
          <w:szCs w:val="24"/>
        </w:rPr>
        <w:t>磋商报价得分=（磋商基准价/最后磋商报价）×30。</w:t>
      </w:r>
    </w:p>
    <w:p>
      <w:pPr>
        <w:adjustRightInd w:val="0"/>
        <w:snapToGrid w:val="0"/>
        <w:spacing w:line="360" w:lineRule="auto"/>
        <w:jc w:val="both"/>
        <w:rPr>
          <w:rFonts w:ascii="仿宋" w:hAnsi="仿宋" w:eastAsia="仿宋" w:cs="仿宋_GB2312"/>
          <w:b/>
          <w:bCs/>
          <w:sz w:val="24"/>
          <w:szCs w:val="24"/>
        </w:rPr>
      </w:pPr>
      <w:r>
        <w:rPr>
          <w:rFonts w:hint="eastAsia" w:ascii="仿宋" w:hAnsi="仿宋" w:eastAsia="仿宋" w:cs="仿宋_GB2312"/>
          <w:b/>
          <w:bCs/>
          <w:sz w:val="24"/>
          <w:szCs w:val="24"/>
        </w:rPr>
        <w:t>6、推荐成交人的特殊情况处理：采用综合评分法综合得分相同 ，按照最后报价由低到高的顺序推荐；综合得分且最后报价相同的并列；综合得分排序并列第一的，则采取现场抽签的方式确定（供应商的抽签顺序分别为各供应商递交竞争性磋商响应文件签到顺序号）。</w:t>
      </w:r>
    </w:p>
    <w:p>
      <w:pPr>
        <w:pStyle w:val="11"/>
        <w:rPr>
          <w:rFonts w:asciiTheme="minorEastAsia" w:hAnsiTheme="minorEastAsia" w:eastAsiaTheme="minorEastAsia"/>
          <w:sz w:val="20"/>
          <w:lang w:val="en-US"/>
        </w:rPr>
      </w:pPr>
    </w:p>
    <w:p>
      <w:pPr>
        <w:tabs>
          <w:tab w:val="left" w:pos="1840"/>
        </w:tabs>
        <w:ind w:left="11"/>
        <w:jc w:val="center"/>
        <w:rPr>
          <w:rFonts w:asciiTheme="minorEastAsia" w:hAnsiTheme="minorEastAsia" w:eastAsiaTheme="minorEastAsia"/>
          <w:b/>
          <w:sz w:val="36"/>
        </w:rPr>
      </w:pPr>
    </w:p>
    <w:p>
      <w:pPr>
        <w:tabs>
          <w:tab w:val="left" w:pos="1840"/>
        </w:tabs>
        <w:ind w:left="11"/>
        <w:jc w:val="center"/>
        <w:rPr>
          <w:rFonts w:asciiTheme="minorEastAsia" w:hAnsiTheme="minorEastAsia" w:eastAsiaTheme="minorEastAsia"/>
          <w:b/>
          <w:sz w:val="36"/>
        </w:rPr>
      </w:pPr>
    </w:p>
    <w:p>
      <w:pPr>
        <w:tabs>
          <w:tab w:val="left" w:pos="1840"/>
        </w:tabs>
        <w:ind w:left="11"/>
        <w:jc w:val="center"/>
        <w:rPr>
          <w:rFonts w:asciiTheme="minorEastAsia" w:hAnsiTheme="minorEastAsia" w:eastAsiaTheme="minorEastAsia"/>
          <w:b/>
          <w:sz w:val="36"/>
        </w:rPr>
      </w:pPr>
    </w:p>
    <w:p>
      <w:pPr>
        <w:tabs>
          <w:tab w:val="left" w:pos="1840"/>
        </w:tabs>
        <w:ind w:left="11"/>
        <w:jc w:val="center"/>
        <w:rPr>
          <w:rFonts w:asciiTheme="minorEastAsia" w:hAnsiTheme="minorEastAsia" w:eastAsiaTheme="minorEastAsia"/>
          <w:b/>
          <w:sz w:val="36"/>
        </w:rPr>
      </w:pPr>
    </w:p>
    <w:p>
      <w:pPr>
        <w:tabs>
          <w:tab w:val="left" w:pos="1840"/>
        </w:tabs>
        <w:ind w:left="11"/>
        <w:jc w:val="center"/>
        <w:rPr>
          <w:rFonts w:asciiTheme="minorEastAsia" w:hAnsiTheme="minorEastAsia" w:eastAsiaTheme="minorEastAsia"/>
          <w:b/>
          <w:sz w:val="36"/>
        </w:rPr>
      </w:pPr>
    </w:p>
    <w:p>
      <w:pPr>
        <w:tabs>
          <w:tab w:val="left" w:pos="1840"/>
        </w:tabs>
        <w:ind w:left="11"/>
        <w:jc w:val="center"/>
        <w:rPr>
          <w:rFonts w:asciiTheme="minorEastAsia" w:hAnsiTheme="minorEastAsia" w:eastAsiaTheme="minorEastAsia"/>
          <w:b/>
          <w:sz w:val="36"/>
        </w:rPr>
      </w:pPr>
    </w:p>
    <w:p>
      <w:pPr>
        <w:tabs>
          <w:tab w:val="left" w:pos="1840"/>
        </w:tabs>
        <w:ind w:left="11"/>
        <w:jc w:val="center"/>
        <w:rPr>
          <w:rFonts w:asciiTheme="minorEastAsia" w:hAnsiTheme="minorEastAsia" w:eastAsiaTheme="minorEastAsia"/>
          <w:b/>
          <w:sz w:val="36"/>
        </w:rPr>
      </w:pPr>
    </w:p>
    <w:p>
      <w:pPr>
        <w:pStyle w:val="4"/>
      </w:pPr>
    </w:p>
    <w:p>
      <w:pPr>
        <w:pStyle w:val="4"/>
      </w:pPr>
    </w:p>
    <w:p>
      <w:pPr>
        <w:pStyle w:val="4"/>
      </w:pPr>
    </w:p>
    <w:p>
      <w:pPr>
        <w:pStyle w:val="4"/>
      </w:pPr>
    </w:p>
    <w:p>
      <w:pPr>
        <w:pStyle w:val="4"/>
      </w:pPr>
    </w:p>
    <w:p>
      <w:pPr>
        <w:pStyle w:val="4"/>
        <w:ind w:firstLine="0"/>
        <w:rPr>
          <w:rFonts w:hint="eastAsia"/>
        </w:rPr>
      </w:pPr>
    </w:p>
    <w:p>
      <w:pPr>
        <w:tabs>
          <w:tab w:val="left" w:pos="1840"/>
        </w:tabs>
        <w:ind w:left="11"/>
        <w:jc w:val="center"/>
        <w:rPr>
          <w:rFonts w:asciiTheme="minorEastAsia" w:hAnsiTheme="minorEastAsia" w:eastAsiaTheme="minorEastAsia"/>
          <w:b/>
          <w:sz w:val="40"/>
        </w:rPr>
      </w:pPr>
      <w:r>
        <w:rPr>
          <w:rFonts w:asciiTheme="minorEastAsia" w:hAnsiTheme="minorEastAsia" w:eastAsiaTheme="minorEastAsia"/>
          <w:b/>
          <w:sz w:val="36"/>
        </w:rPr>
        <w:t>第五部分</w:t>
      </w:r>
      <w:r>
        <w:rPr>
          <w:rFonts w:asciiTheme="minorEastAsia" w:hAnsiTheme="minorEastAsia" w:eastAsiaTheme="minorEastAsia"/>
          <w:b/>
          <w:sz w:val="36"/>
        </w:rPr>
        <w:tab/>
      </w:r>
      <w:r>
        <w:rPr>
          <w:rFonts w:asciiTheme="minorEastAsia" w:hAnsiTheme="minorEastAsia" w:eastAsiaTheme="minorEastAsia"/>
          <w:b/>
          <w:sz w:val="40"/>
        </w:rPr>
        <w:t>合同相关要求</w:t>
      </w:r>
    </w:p>
    <w:p>
      <w:pPr>
        <w:pStyle w:val="11"/>
        <w:rPr>
          <w:rFonts w:asciiTheme="minorEastAsia" w:hAnsiTheme="minorEastAsia" w:eastAsiaTheme="minorEastAsia"/>
        </w:rPr>
      </w:pPr>
    </w:p>
    <w:p>
      <w:pPr>
        <w:autoSpaceDE/>
        <w:autoSpaceDN/>
        <w:jc w:val="center"/>
        <w:rPr>
          <w:rFonts w:cs="Times New Roman" w:asciiTheme="minorEastAsia" w:hAnsiTheme="minorEastAsia" w:eastAsiaTheme="minorEastAsia"/>
          <w:kern w:val="2"/>
          <w:sz w:val="21"/>
          <w:szCs w:val="21"/>
          <w:lang w:val="en-US" w:bidi="ar-SA"/>
        </w:rPr>
      </w:pPr>
      <w:r>
        <w:rPr>
          <w:rFonts w:hint="eastAsia" w:cs="Times New Roman" w:asciiTheme="minorEastAsia" w:hAnsiTheme="minorEastAsia" w:eastAsiaTheme="minorEastAsia"/>
          <w:kern w:val="2"/>
          <w:sz w:val="21"/>
          <w:szCs w:val="21"/>
          <w:lang w:val="en-US" w:bidi="ar-SA"/>
        </w:rPr>
        <w:t xml:space="preserve"> 合同最终稿由供需双方协商后确定。</w:t>
      </w:r>
    </w:p>
    <w:p>
      <w:pPr>
        <w:pStyle w:val="4"/>
        <w:rPr>
          <w:lang w:val="en-US"/>
        </w:rPr>
      </w:pPr>
    </w:p>
    <w:p>
      <w:pPr>
        <w:spacing w:line="360" w:lineRule="auto"/>
        <w:ind w:left="-360" w:firstLine="440" w:firstLineChars="200"/>
        <w:rPr>
          <w:szCs w:val="21"/>
          <w:lang w:val="en-GB"/>
        </w:rPr>
      </w:pPr>
      <w:r>
        <w:rPr>
          <w:rFonts w:hint="eastAsia"/>
          <w:szCs w:val="21"/>
          <w:lang w:val="en-GB"/>
        </w:rPr>
        <w:t>1、中标公示期满后3日内须领取中标通知书，同时中标人应按照《中标通知书》指定的时间内与采购人洽谈并签订合同，合同一式五份(采购单位、供应商、财政局采购管理科、区公共资源交易中心以及采购单位主管部门各一份)。如在规定的时限内因中标方原因没有签订合同，将取消中标人候选人中标资格。所签合同不得对招标文件作实质性修改，否则投标保证金将不予退还，由此给采购人造成损失的，成交供应商还应承担赔偿责任。</w:t>
      </w:r>
    </w:p>
    <w:p>
      <w:pPr>
        <w:spacing w:line="360" w:lineRule="auto"/>
        <w:ind w:left="-360" w:firstLine="440" w:firstLineChars="200"/>
        <w:rPr>
          <w:szCs w:val="21"/>
          <w:lang w:val="en-GB"/>
        </w:rPr>
      </w:pPr>
      <w:r>
        <w:rPr>
          <w:rFonts w:hint="eastAsia"/>
          <w:szCs w:val="21"/>
          <w:lang w:val="en-GB"/>
        </w:rPr>
        <w:t>2、</w:t>
      </w:r>
      <w:r>
        <w:rPr>
          <w:rFonts w:hint="eastAsia"/>
          <w:szCs w:val="21"/>
        </w:rPr>
        <w:t>招标采购文件</w:t>
      </w:r>
      <w:r>
        <w:rPr>
          <w:rFonts w:hint="eastAsia"/>
          <w:szCs w:val="21"/>
          <w:lang w:val="en-GB"/>
        </w:rPr>
        <w:t>、</w:t>
      </w:r>
      <w:r>
        <w:rPr>
          <w:rFonts w:hint="eastAsia"/>
          <w:szCs w:val="21"/>
        </w:rPr>
        <w:t>中标人</w:t>
      </w:r>
      <w:r>
        <w:rPr>
          <w:rFonts w:hint="eastAsia"/>
          <w:szCs w:val="21"/>
          <w:lang w:val="en-GB"/>
        </w:rPr>
        <w:t>的投标文件及投标过程中有关书面澄清、承诺等均应作为合同附件，具有同等的法律效力。</w:t>
      </w:r>
    </w:p>
    <w:p>
      <w:pPr>
        <w:spacing w:line="360" w:lineRule="auto"/>
        <w:ind w:left="-360" w:firstLine="440" w:firstLineChars="200"/>
        <w:rPr>
          <w:szCs w:val="21"/>
          <w:lang w:val="en-GB"/>
        </w:rPr>
      </w:pPr>
      <w:r>
        <w:rPr>
          <w:rFonts w:hint="eastAsia"/>
          <w:szCs w:val="21"/>
        </w:rPr>
        <w:t>3</w:t>
      </w:r>
      <w:r>
        <w:rPr>
          <w:rFonts w:hint="eastAsia"/>
          <w:szCs w:val="21"/>
          <w:lang w:val="en-GB"/>
        </w:rPr>
        <w:t>、</w:t>
      </w:r>
      <w:r>
        <w:rPr>
          <w:rFonts w:hint="eastAsia"/>
          <w:szCs w:val="21"/>
        </w:rPr>
        <w:t>中标人</w:t>
      </w:r>
      <w:r>
        <w:rPr>
          <w:rFonts w:hint="eastAsia"/>
          <w:szCs w:val="21"/>
          <w:lang w:val="en-GB"/>
        </w:rPr>
        <w:t>不得采用分包的形式履行合同，否则采购人有权终止合同，造成采购人损失的，</w:t>
      </w:r>
      <w:r>
        <w:rPr>
          <w:rFonts w:hint="eastAsia"/>
          <w:szCs w:val="21"/>
        </w:rPr>
        <w:t>中标人</w:t>
      </w:r>
      <w:r>
        <w:rPr>
          <w:rFonts w:hint="eastAsia"/>
          <w:szCs w:val="21"/>
          <w:lang w:val="en-GB"/>
        </w:rPr>
        <w:t>应承担相应赔偿责任。</w:t>
      </w:r>
      <w:r>
        <w:rPr>
          <w:rFonts w:hint="eastAsia"/>
          <w:szCs w:val="21"/>
        </w:rPr>
        <w:t>中标人</w:t>
      </w:r>
      <w:r>
        <w:rPr>
          <w:rFonts w:hint="eastAsia"/>
          <w:szCs w:val="21"/>
          <w:lang w:val="en-GB"/>
        </w:rPr>
        <w:t>出现违约情形，应当及时纠正或补偿；造成损失的，按合同约定追究违约责任；发现有假冒、伪劣、走私产品、商业贿赂等违法情形的，应由采购单位移交工商、质监、公安等行政执法部门依法查处。中标人不能及时供货的，按《民法典》规定处理，同时扣除相应合同履约金。另外，区公共资源交易中心将视具体情况，限止其参加在本区范围内6个月至3年的政府采购招投标活动。</w:t>
      </w:r>
    </w:p>
    <w:p>
      <w:pPr>
        <w:spacing w:line="360" w:lineRule="auto"/>
        <w:ind w:left="-360" w:firstLine="440" w:firstLineChars="200"/>
        <w:rPr>
          <w:szCs w:val="21"/>
          <w:lang w:val="en-GB"/>
        </w:rPr>
      </w:pPr>
      <w:r>
        <w:rPr>
          <w:rFonts w:hint="eastAsia"/>
          <w:szCs w:val="21"/>
        </w:rPr>
        <w:t>4</w:t>
      </w:r>
      <w:r>
        <w:rPr>
          <w:rFonts w:hint="eastAsia"/>
          <w:szCs w:val="21"/>
          <w:lang w:val="en-GB"/>
        </w:rPr>
        <w:t>、</w:t>
      </w:r>
      <w:r>
        <w:rPr>
          <w:rFonts w:hint="eastAsia"/>
          <w:szCs w:val="21"/>
        </w:rPr>
        <w:t>中标人</w:t>
      </w:r>
      <w:r>
        <w:rPr>
          <w:rFonts w:hint="eastAsia"/>
          <w:szCs w:val="21"/>
          <w:lang w:val="en-GB"/>
        </w:rPr>
        <w:t>如没有在合同规定的时限内完工，招标人将向</w:t>
      </w:r>
      <w:r>
        <w:rPr>
          <w:rFonts w:hint="eastAsia"/>
          <w:szCs w:val="21"/>
        </w:rPr>
        <w:t>中标人</w:t>
      </w:r>
      <w:r>
        <w:rPr>
          <w:rFonts w:hint="eastAsia"/>
          <w:szCs w:val="21"/>
          <w:lang w:val="en-GB"/>
        </w:rPr>
        <w:t>发出书面违约通知并有权全部或部分终止合同，同时招标人由此造成的损失须由</w:t>
      </w:r>
      <w:r>
        <w:rPr>
          <w:rFonts w:hint="eastAsia"/>
          <w:szCs w:val="21"/>
        </w:rPr>
        <w:t>中标人</w:t>
      </w:r>
      <w:r>
        <w:rPr>
          <w:rFonts w:hint="eastAsia"/>
          <w:szCs w:val="21"/>
          <w:lang w:val="en-GB"/>
        </w:rPr>
        <w:t>负责赔偿。</w:t>
      </w:r>
    </w:p>
    <w:p>
      <w:pPr>
        <w:spacing w:line="360" w:lineRule="auto"/>
        <w:ind w:left="-360" w:firstLine="440" w:firstLineChars="200"/>
        <w:rPr>
          <w:szCs w:val="21"/>
          <w:lang w:val="en-GB"/>
        </w:rPr>
      </w:pPr>
      <w:r>
        <w:rPr>
          <w:rFonts w:hint="eastAsia"/>
          <w:szCs w:val="21"/>
        </w:rPr>
        <w:t>5、</w:t>
      </w:r>
      <w:r>
        <w:rPr>
          <w:rFonts w:hint="eastAsia"/>
          <w:szCs w:val="21"/>
          <w:lang w:val="en-GB"/>
        </w:rPr>
        <w:t>采购单位按合同约定积极配合中标供应商履约，</w:t>
      </w:r>
      <w:r>
        <w:rPr>
          <w:rFonts w:hint="eastAsia"/>
          <w:szCs w:val="21"/>
        </w:rPr>
        <w:t>中标人</w:t>
      </w:r>
      <w:r>
        <w:rPr>
          <w:rFonts w:hint="eastAsia"/>
          <w:szCs w:val="21"/>
          <w:lang w:val="en-GB"/>
        </w:rPr>
        <w:t>履约到位后，请以书面形式向采购单位提出验收申请，采购单位接到申请后原则上在5个工作日内及时组织相关专业技术人员，必要时邀请相关行政监督部门共同参与验收，并出具验收报告，验收合格后支付相应款项。</w:t>
      </w:r>
    </w:p>
    <w:p>
      <w:pPr>
        <w:spacing w:line="360" w:lineRule="auto"/>
        <w:ind w:left="-360" w:firstLine="440" w:firstLineChars="200"/>
        <w:rPr>
          <w:szCs w:val="21"/>
        </w:rPr>
      </w:pPr>
      <w:r>
        <w:rPr>
          <w:rFonts w:hint="eastAsia"/>
          <w:szCs w:val="21"/>
        </w:rPr>
        <w:t>6、</w:t>
      </w:r>
      <w:r>
        <w:rPr>
          <w:rFonts w:hint="eastAsia"/>
          <w:szCs w:val="21"/>
          <w:lang w:val="en-GB"/>
        </w:rPr>
        <w:t>采购单位故意推迟项目验收时间的，与</w:t>
      </w:r>
      <w:r>
        <w:rPr>
          <w:rFonts w:hint="eastAsia"/>
          <w:szCs w:val="21"/>
        </w:rPr>
        <w:t>中标人</w:t>
      </w:r>
      <w:r>
        <w:rPr>
          <w:rFonts w:hint="eastAsia"/>
          <w:szCs w:val="21"/>
          <w:lang w:val="en-GB"/>
        </w:rPr>
        <w:t>串通或要求</w:t>
      </w:r>
      <w:r>
        <w:rPr>
          <w:rFonts w:hint="eastAsia"/>
          <w:szCs w:val="21"/>
        </w:rPr>
        <w:t>中标人</w:t>
      </w:r>
      <w:r>
        <w:rPr>
          <w:rFonts w:hint="eastAsia"/>
          <w:szCs w:val="21"/>
          <w:lang w:val="en-GB"/>
        </w:rPr>
        <w:t>通过减少货物数量或降低服务标准的，在履行合同中采取更改配置、调换物品等手段的，要求供应商出具虚假发票或任意更改销售发票的，谋取不正当利益的，承担相应的法律责任</w:t>
      </w:r>
      <w:r>
        <w:rPr>
          <w:rFonts w:hint="eastAsia"/>
          <w:szCs w:val="21"/>
        </w:rPr>
        <w:t>。</w:t>
      </w:r>
    </w:p>
    <w:p>
      <w:pPr>
        <w:spacing w:line="360" w:lineRule="auto"/>
        <w:ind w:left="-360" w:firstLine="440" w:firstLineChars="200"/>
        <w:rPr>
          <w:szCs w:val="21"/>
          <w:lang w:val="en-GB"/>
        </w:rPr>
      </w:pPr>
      <w:r>
        <w:rPr>
          <w:rFonts w:hint="eastAsia"/>
          <w:szCs w:val="21"/>
        </w:rPr>
        <w:t>7</w:t>
      </w:r>
      <w:r>
        <w:rPr>
          <w:rFonts w:hint="eastAsia"/>
          <w:szCs w:val="21"/>
          <w:lang w:val="en-GB"/>
        </w:rPr>
        <w:t>、中标人如不能在招标文件规定的时限内完成项目，每延误一天罚人民币1000元整。</w:t>
      </w:r>
    </w:p>
    <w:p>
      <w:pPr>
        <w:spacing w:line="360" w:lineRule="auto"/>
        <w:ind w:left="-360" w:firstLine="440" w:firstLineChars="200"/>
        <w:rPr>
          <w:szCs w:val="21"/>
          <w:lang w:val="en-GB"/>
        </w:rPr>
      </w:pPr>
      <w:r>
        <w:rPr>
          <w:rFonts w:hint="eastAsia"/>
          <w:szCs w:val="21"/>
        </w:rPr>
        <w:t>8、成交供应商必须在中标（成交）通知书发出之日起三十日内与采购人签订合同。</w:t>
      </w:r>
    </w:p>
    <w:p>
      <w:pPr>
        <w:spacing w:line="360" w:lineRule="auto"/>
        <w:ind w:left="-360" w:firstLine="440" w:firstLineChars="200"/>
        <w:rPr>
          <w:szCs w:val="21"/>
          <w:lang w:val="en-GB"/>
        </w:rPr>
      </w:pPr>
      <w:r>
        <w:rPr>
          <w:rFonts w:hint="eastAsia"/>
          <w:szCs w:val="21"/>
        </w:rPr>
        <w:t>所签合同不得对采购文件作实质性修改。采购单位不得向供应商提出不合理的要求作为签订合同的条件，不得与供应商私下订立背离采购文件实质性内容的协议。</w:t>
      </w:r>
    </w:p>
    <w:p>
      <w:pPr>
        <w:ind w:left="11"/>
        <w:jc w:val="center"/>
        <w:rPr>
          <w:rFonts w:asciiTheme="minorEastAsia" w:hAnsiTheme="minorEastAsia" w:eastAsiaTheme="minorEastAsia"/>
          <w:b/>
          <w:sz w:val="36"/>
        </w:rPr>
      </w:pPr>
    </w:p>
    <w:p>
      <w:pPr>
        <w:ind w:left="11"/>
        <w:jc w:val="center"/>
        <w:rPr>
          <w:rFonts w:asciiTheme="minorEastAsia" w:hAnsiTheme="minorEastAsia" w:eastAsiaTheme="minorEastAsia"/>
          <w:b/>
          <w:sz w:val="36"/>
        </w:rPr>
      </w:pPr>
    </w:p>
    <w:p>
      <w:pPr>
        <w:ind w:left="11"/>
        <w:jc w:val="center"/>
        <w:rPr>
          <w:rFonts w:asciiTheme="minorEastAsia" w:hAnsiTheme="minorEastAsia" w:eastAsiaTheme="minorEastAsia"/>
          <w:b/>
          <w:sz w:val="36"/>
        </w:rPr>
      </w:pPr>
    </w:p>
    <w:p>
      <w:pPr>
        <w:ind w:left="11"/>
        <w:jc w:val="center"/>
        <w:rPr>
          <w:rFonts w:asciiTheme="minorEastAsia" w:hAnsiTheme="minorEastAsia" w:eastAsiaTheme="minorEastAsia"/>
          <w:b/>
          <w:sz w:val="36"/>
        </w:rPr>
      </w:pPr>
    </w:p>
    <w:p>
      <w:pPr>
        <w:ind w:left="11"/>
        <w:jc w:val="center"/>
        <w:rPr>
          <w:rFonts w:asciiTheme="minorEastAsia" w:hAnsiTheme="minorEastAsia" w:eastAsiaTheme="minorEastAsia"/>
          <w:b/>
          <w:sz w:val="36"/>
        </w:rPr>
      </w:pPr>
    </w:p>
    <w:p>
      <w:pPr>
        <w:pStyle w:val="11"/>
        <w:rPr>
          <w:rFonts w:asciiTheme="minorEastAsia" w:hAnsiTheme="minorEastAsia" w:eastAsiaTheme="minorEastAsia"/>
        </w:rPr>
      </w:pPr>
    </w:p>
    <w:p>
      <w:pPr>
        <w:ind w:left="11"/>
        <w:jc w:val="center"/>
        <w:rPr>
          <w:rFonts w:asciiTheme="minorEastAsia" w:hAnsiTheme="minorEastAsia" w:eastAsiaTheme="minorEastAsia"/>
          <w:b/>
          <w:sz w:val="36"/>
        </w:rPr>
      </w:pPr>
      <w:r>
        <w:rPr>
          <w:rFonts w:asciiTheme="minorEastAsia" w:hAnsiTheme="minorEastAsia" w:eastAsiaTheme="minorEastAsia"/>
          <w:b/>
          <w:sz w:val="36"/>
        </w:rPr>
        <w:t>第六部分 质疑提出和处理</w:t>
      </w:r>
    </w:p>
    <w:p>
      <w:pPr>
        <w:pStyle w:val="9"/>
        <w:spacing w:before="135"/>
        <w:ind w:left="895"/>
        <w:rPr>
          <w:rFonts w:asciiTheme="minorEastAsia" w:hAnsiTheme="minorEastAsia" w:eastAsiaTheme="minorEastAsia"/>
        </w:rPr>
      </w:pPr>
      <w:r>
        <w:rPr>
          <w:rFonts w:asciiTheme="minorEastAsia" w:hAnsiTheme="minorEastAsia" w:eastAsiaTheme="minorEastAsia"/>
        </w:rPr>
        <w:t>一、质疑的提出</w:t>
      </w:r>
    </w:p>
    <w:p>
      <w:pPr>
        <w:pStyle w:val="11"/>
        <w:spacing w:before="47"/>
        <w:ind w:left="893"/>
        <w:rPr>
          <w:rFonts w:asciiTheme="minorEastAsia" w:hAnsiTheme="minorEastAsia" w:eastAsiaTheme="minorEastAsia"/>
        </w:rPr>
      </w:pPr>
      <w:r>
        <w:rPr>
          <w:rFonts w:asciiTheme="minorEastAsia" w:hAnsiTheme="minorEastAsia" w:eastAsiaTheme="minorEastAsia"/>
        </w:rPr>
        <w:t>1、质疑人必须是直接参加本次招标活动的当事人。</w:t>
      </w:r>
    </w:p>
    <w:p>
      <w:pPr>
        <w:pStyle w:val="11"/>
        <w:spacing w:before="12" w:line="252" w:lineRule="auto"/>
        <w:ind w:left="472" w:right="455" w:firstLine="420"/>
        <w:rPr>
          <w:rFonts w:asciiTheme="minorEastAsia" w:hAnsiTheme="minorEastAsia" w:eastAsiaTheme="minorEastAsia"/>
        </w:rPr>
      </w:pPr>
      <w:r>
        <w:rPr>
          <w:rFonts w:asciiTheme="minorEastAsia" w:hAnsiTheme="minorEastAsia" w:eastAsiaTheme="minorEastAsia"/>
        </w:rPr>
        <w:t>2</w:t>
      </w:r>
      <w:r>
        <w:rPr>
          <w:rFonts w:asciiTheme="minorEastAsia" w:hAnsiTheme="minorEastAsia" w:eastAsiaTheme="minorEastAsia"/>
          <w:spacing w:val="-11"/>
        </w:rPr>
        <w:t>、供应商下载招标文件后，应仔细检查招标文件的所有内容，如对本次招标文件存在疑问，请将书</w:t>
      </w:r>
      <w:r>
        <w:rPr>
          <w:rFonts w:asciiTheme="minorEastAsia" w:hAnsiTheme="minorEastAsia" w:eastAsiaTheme="minorEastAsia"/>
          <w:spacing w:val="-10"/>
        </w:rPr>
        <w:t xml:space="preserve">面询问文件在投标截止时间 </w:t>
      </w:r>
      <w:r>
        <w:rPr>
          <w:rFonts w:asciiTheme="minorEastAsia" w:hAnsiTheme="minorEastAsia" w:eastAsiaTheme="minorEastAsia"/>
        </w:rPr>
        <w:t>24</w:t>
      </w:r>
      <w:r>
        <w:rPr>
          <w:rFonts w:asciiTheme="minorEastAsia" w:hAnsiTheme="minorEastAsia" w:eastAsiaTheme="minorEastAsia"/>
          <w:spacing w:val="-9"/>
        </w:rPr>
        <w:t xml:space="preserve"> 小时前送至采购单位或代理单位。</w:t>
      </w:r>
    </w:p>
    <w:p>
      <w:pPr>
        <w:pStyle w:val="11"/>
        <w:spacing w:line="249" w:lineRule="auto"/>
        <w:ind w:left="472" w:right="269" w:firstLine="420"/>
        <w:rPr>
          <w:rFonts w:asciiTheme="minorEastAsia" w:hAnsiTheme="minorEastAsia" w:eastAsiaTheme="minorEastAsia"/>
        </w:rPr>
      </w:pPr>
      <w:r>
        <w:rPr>
          <w:rFonts w:asciiTheme="minorEastAsia" w:hAnsiTheme="minorEastAsia" w:eastAsiaTheme="minorEastAsia"/>
        </w:rPr>
        <w:t>3</w:t>
      </w:r>
      <w:r>
        <w:rPr>
          <w:rFonts w:asciiTheme="minorEastAsia" w:hAnsiTheme="minorEastAsia" w:eastAsiaTheme="minorEastAsia"/>
          <w:spacing w:val="-3"/>
        </w:rPr>
        <w:t>、提出质疑时，必须坚持“谁主张，谁举证”、“实事求是”的原则，不能臆测。属于须由法定部</w:t>
      </w:r>
      <w:r>
        <w:rPr>
          <w:rFonts w:asciiTheme="minorEastAsia" w:hAnsiTheme="minorEastAsia" w:eastAsiaTheme="minorEastAsia"/>
          <w:spacing w:val="-5"/>
        </w:rPr>
        <w:t>门调查、侦查或先行作出相关认定的事项，质疑人应当依法申请具有法定职权的部门查清、认定，并将相</w:t>
      </w:r>
      <w:r>
        <w:rPr>
          <w:rFonts w:asciiTheme="minorEastAsia" w:hAnsiTheme="minorEastAsia" w:eastAsiaTheme="minorEastAsia"/>
          <w:spacing w:val="-4"/>
        </w:rPr>
        <w:t>关结果提供给采购人。采购人不具有法定调查、认定权限。</w:t>
      </w:r>
    </w:p>
    <w:p>
      <w:pPr>
        <w:pStyle w:val="11"/>
        <w:spacing w:line="249" w:lineRule="auto"/>
        <w:ind w:left="472" w:right="350" w:firstLine="420"/>
        <w:rPr>
          <w:rFonts w:asciiTheme="minorEastAsia" w:hAnsiTheme="minorEastAsia" w:eastAsiaTheme="minorEastAsia"/>
        </w:rPr>
      </w:pPr>
      <w:r>
        <w:rPr>
          <w:rFonts w:asciiTheme="minorEastAsia" w:hAnsiTheme="minorEastAsia" w:eastAsiaTheme="minorEastAsia"/>
        </w:rPr>
        <w:t>4</w:t>
      </w:r>
      <w:r>
        <w:rPr>
          <w:rFonts w:asciiTheme="minorEastAsia" w:hAnsiTheme="minorEastAsia" w:eastAsiaTheme="minorEastAsia"/>
          <w:spacing w:val="-11"/>
        </w:rPr>
        <w:t>、对本次招标有质疑的，实行实名制，不得进行虚假、恶意质疑。质疑人应在质疑有效期内以书面</w:t>
      </w:r>
      <w:r>
        <w:rPr>
          <w:rFonts w:asciiTheme="minorEastAsia" w:hAnsiTheme="minorEastAsia" w:eastAsiaTheme="minorEastAsia"/>
          <w:spacing w:val="-6"/>
        </w:rPr>
        <w:t>形式提出《质疑函》</w:t>
      </w:r>
      <w:r>
        <w:rPr>
          <w:rFonts w:asciiTheme="minorEastAsia" w:hAnsiTheme="minorEastAsia" w:eastAsiaTheme="minorEastAsia"/>
        </w:rPr>
        <w:t>（</w:t>
      </w:r>
      <w:r>
        <w:rPr>
          <w:rFonts w:asciiTheme="minorEastAsia" w:hAnsiTheme="minorEastAsia" w:eastAsiaTheme="minorEastAsia"/>
          <w:spacing w:val="-3"/>
        </w:rPr>
        <w:t>格式请下载</w:t>
      </w:r>
      <w:r>
        <w:rPr>
          <w:rFonts w:asciiTheme="minorEastAsia" w:hAnsiTheme="minorEastAsia" w:eastAsiaTheme="minorEastAsia"/>
        </w:rPr>
        <w:t>）</w:t>
      </w:r>
      <w:r>
        <w:rPr>
          <w:rFonts w:asciiTheme="minorEastAsia" w:hAnsiTheme="minorEastAsia" w:eastAsiaTheme="minorEastAsia"/>
          <w:spacing w:val="-3"/>
        </w:rPr>
        <w:t>，《质疑函》内容应包括质疑事项、主要内容、事实依据、适应法</w:t>
      </w:r>
      <w:r>
        <w:rPr>
          <w:rFonts w:asciiTheme="minorEastAsia" w:hAnsiTheme="minorEastAsia" w:eastAsiaTheme="minorEastAsia"/>
          <w:spacing w:val="-13"/>
        </w:rPr>
        <w:t xml:space="preserve">规条款、佐证材料等。同时，质疑人应保证其提出的质疑内容及相关佐证材料的真实性及来源的合法性， </w:t>
      </w:r>
      <w:r>
        <w:rPr>
          <w:rFonts w:asciiTheme="minorEastAsia" w:hAnsiTheme="minorEastAsia" w:eastAsiaTheme="minorEastAsia"/>
          <w:spacing w:val="-6"/>
        </w:rPr>
        <w:t>并承担相应的法律责任。</w:t>
      </w:r>
    </w:p>
    <w:p>
      <w:pPr>
        <w:pStyle w:val="11"/>
        <w:spacing w:line="249" w:lineRule="auto"/>
        <w:ind w:left="472" w:right="455"/>
        <w:rPr>
          <w:rFonts w:asciiTheme="minorEastAsia" w:hAnsiTheme="minorEastAsia" w:eastAsiaTheme="minorEastAsia"/>
        </w:rPr>
      </w:pPr>
      <w:r>
        <w:rPr>
          <w:rFonts w:asciiTheme="minorEastAsia" w:hAnsiTheme="minorEastAsia" w:eastAsiaTheme="minorEastAsia"/>
        </w:rPr>
        <w:t>对不能提供相关佐证材料的、涉及商业秘密的、非书面形式的、非送达的、匿名的《质疑函》将不予受理。</w:t>
      </w:r>
    </w:p>
    <w:p>
      <w:pPr>
        <w:pStyle w:val="11"/>
        <w:spacing w:line="252" w:lineRule="auto"/>
        <w:ind w:left="472" w:right="456"/>
        <w:rPr>
          <w:rFonts w:asciiTheme="minorEastAsia" w:hAnsiTheme="minorEastAsia" w:eastAsiaTheme="minorEastAsia"/>
        </w:rPr>
      </w:pPr>
      <w:r>
        <w:rPr>
          <w:rFonts w:asciiTheme="minorEastAsia" w:hAnsiTheme="minorEastAsia" w:eastAsiaTheme="minorEastAsia"/>
        </w:rPr>
        <w:t>相关佐证材料要具备客观性、关联性、合法性，无法查实的（如宣传册、媒体报道、猜测、推理等）不能作为佐证材料。</w:t>
      </w:r>
    </w:p>
    <w:p>
      <w:pPr>
        <w:pStyle w:val="11"/>
        <w:spacing w:line="266" w:lineRule="exact"/>
        <w:ind w:left="893"/>
        <w:rPr>
          <w:rFonts w:asciiTheme="minorEastAsia" w:hAnsiTheme="minorEastAsia" w:eastAsiaTheme="minorEastAsia"/>
        </w:rPr>
      </w:pPr>
      <w:r>
        <w:rPr>
          <w:rFonts w:asciiTheme="minorEastAsia" w:hAnsiTheme="minorEastAsia" w:eastAsiaTheme="minorEastAsia"/>
        </w:rPr>
        <w:t>5、本项目要求供应商在法定质疑期内一次性提出针对同一采购程序环节的质疑。</w:t>
      </w:r>
    </w:p>
    <w:p>
      <w:pPr>
        <w:pStyle w:val="11"/>
        <w:spacing w:before="6" w:line="249" w:lineRule="auto"/>
        <w:ind w:left="472" w:right="455" w:firstLine="420"/>
        <w:rPr>
          <w:rFonts w:asciiTheme="minorEastAsia" w:hAnsiTheme="minorEastAsia" w:eastAsiaTheme="minorEastAsia"/>
        </w:rPr>
      </w:pPr>
      <w:r>
        <w:rPr>
          <w:rFonts w:asciiTheme="minorEastAsia" w:hAnsiTheme="minorEastAsia" w:eastAsiaTheme="minorEastAsia"/>
        </w:rPr>
        <w:t>6</w:t>
      </w:r>
      <w:r>
        <w:rPr>
          <w:rFonts w:asciiTheme="minorEastAsia" w:hAnsiTheme="minorEastAsia" w:eastAsiaTheme="minorEastAsia"/>
          <w:spacing w:val="-11"/>
        </w:rPr>
        <w:t>、提供报名回执的复印件，由供应商法人代表签字或盖章，并加盖供应商公章，对不能提供的将不</w:t>
      </w:r>
      <w:r>
        <w:rPr>
          <w:rFonts w:asciiTheme="minorEastAsia" w:hAnsiTheme="minorEastAsia" w:eastAsiaTheme="minorEastAsia"/>
          <w:spacing w:val="-7"/>
        </w:rPr>
        <w:t>予受理。</w:t>
      </w:r>
    </w:p>
    <w:p>
      <w:pPr>
        <w:pStyle w:val="9"/>
        <w:spacing w:before="1"/>
        <w:ind w:left="895"/>
        <w:rPr>
          <w:rFonts w:asciiTheme="minorEastAsia" w:hAnsiTheme="minorEastAsia" w:eastAsiaTheme="minorEastAsia"/>
        </w:rPr>
      </w:pPr>
      <w:r>
        <w:rPr>
          <w:rFonts w:asciiTheme="minorEastAsia" w:hAnsiTheme="minorEastAsia" w:eastAsiaTheme="minorEastAsia"/>
        </w:rPr>
        <w:t>二、《质疑函》的受理和回复</w:t>
      </w:r>
    </w:p>
    <w:p>
      <w:pPr>
        <w:pStyle w:val="11"/>
        <w:spacing w:before="10"/>
        <w:ind w:left="893"/>
        <w:rPr>
          <w:rFonts w:asciiTheme="minorEastAsia" w:hAnsiTheme="minorEastAsia" w:eastAsiaTheme="minorEastAsia"/>
        </w:rPr>
      </w:pPr>
      <w:r>
        <w:rPr>
          <w:rFonts w:asciiTheme="minorEastAsia" w:hAnsiTheme="minorEastAsia" w:eastAsiaTheme="minorEastAsia"/>
        </w:rPr>
        <w:t>1、《质疑函》须由质疑人的法定代表人或参加本次招标授权人送达采购单位和招标人。</w:t>
      </w:r>
    </w:p>
    <w:p>
      <w:pPr>
        <w:pStyle w:val="11"/>
        <w:spacing w:before="12" w:line="249" w:lineRule="auto"/>
        <w:ind w:left="472" w:right="350" w:firstLine="420"/>
        <w:rPr>
          <w:rFonts w:asciiTheme="minorEastAsia" w:hAnsiTheme="minorEastAsia" w:eastAsiaTheme="minorEastAsia"/>
        </w:rPr>
      </w:pPr>
      <w:r>
        <w:rPr>
          <w:rFonts w:asciiTheme="minorEastAsia" w:hAnsiTheme="minorEastAsia" w:eastAsiaTheme="minorEastAsia"/>
        </w:rPr>
        <w:t>2、在处理过程中，发现需要质疑人进一步补充相关佐证材料的，请质疑人在规定的时间内提供，质疑回复时间相应顺延。质疑人不能按时提供相关佐证材料的，视同放弃质疑。</w:t>
      </w:r>
    </w:p>
    <w:p>
      <w:pPr>
        <w:pStyle w:val="9"/>
        <w:spacing w:before="0" w:line="269" w:lineRule="exact"/>
        <w:ind w:left="895"/>
        <w:rPr>
          <w:rFonts w:asciiTheme="minorEastAsia" w:hAnsiTheme="minorEastAsia" w:eastAsiaTheme="minorEastAsia"/>
        </w:rPr>
      </w:pPr>
      <w:r>
        <w:rPr>
          <w:rFonts w:asciiTheme="minorEastAsia" w:hAnsiTheme="minorEastAsia" w:eastAsiaTheme="minorEastAsia"/>
        </w:rPr>
        <w:t>三、质疑处理</w:t>
      </w:r>
    </w:p>
    <w:p>
      <w:pPr>
        <w:spacing w:before="11"/>
        <w:ind w:left="895"/>
        <w:rPr>
          <w:rFonts w:asciiTheme="minorEastAsia" w:hAnsiTheme="minorEastAsia" w:eastAsiaTheme="minorEastAsia"/>
          <w:sz w:val="21"/>
        </w:rPr>
      </w:pPr>
      <w:r>
        <w:rPr>
          <w:rFonts w:asciiTheme="minorEastAsia" w:hAnsiTheme="minorEastAsia" w:eastAsiaTheme="minorEastAsia"/>
          <w:b/>
          <w:sz w:val="21"/>
        </w:rPr>
        <w:t>1、质疑成立的处理。</w:t>
      </w:r>
      <w:r>
        <w:rPr>
          <w:rFonts w:asciiTheme="minorEastAsia" w:hAnsiTheme="minorEastAsia" w:eastAsiaTheme="minorEastAsia"/>
          <w:sz w:val="21"/>
        </w:rPr>
        <w:t>中华人民共和国财政部令第94号《政府采购质疑和投诉办法》处理。</w:t>
      </w:r>
    </w:p>
    <w:p>
      <w:pPr>
        <w:pStyle w:val="9"/>
        <w:spacing w:before="12"/>
        <w:ind w:left="895"/>
        <w:rPr>
          <w:rFonts w:asciiTheme="minorEastAsia" w:hAnsiTheme="minorEastAsia" w:eastAsiaTheme="minorEastAsia"/>
        </w:rPr>
      </w:pPr>
      <w:r>
        <w:rPr>
          <w:rFonts w:asciiTheme="minorEastAsia" w:hAnsiTheme="minorEastAsia" w:eastAsiaTheme="minorEastAsia"/>
        </w:rPr>
        <w:t>2、质疑不成立的处理。</w:t>
      </w:r>
    </w:p>
    <w:p>
      <w:pPr>
        <w:pStyle w:val="27"/>
        <w:numPr>
          <w:ilvl w:val="0"/>
          <w:numId w:val="4"/>
        </w:numPr>
        <w:tabs>
          <w:tab w:val="left" w:pos="1212"/>
        </w:tabs>
        <w:spacing w:before="9"/>
        <w:ind w:hanging="319"/>
        <w:rPr>
          <w:rFonts w:asciiTheme="minorEastAsia" w:hAnsiTheme="minorEastAsia" w:eastAsiaTheme="minorEastAsia"/>
          <w:sz w:val="21"/>
        </w:rPr>
      </w:pPr>
      <w:r>
        <w:rPr>
          <w:rFonts w:asciiTheme="minorEastAsia" w:hAnsiTheme="minorEastAsia" w:eastAsiaTheme="minorEastAsia"/>
          <w:spacing w:val="-3"/>
          <w:sz w:val="21"/>
        </w:rPr>
        <w:t>质疑人书面《申请撤回质疑函》的，不作违约处理。</w:t>
      </w:r>
    </w:p>
    <w:p>
      <w:pPr>
        <w:pStyle w:val="27"/>
        <w:numPr>
          <w:ilvl w:val="0"/>
          <w:numId w:val="4"/>
        </w:numPr>
        <w:tabs>
          <w:tab w:val="left" w:pos="1212"/>
        </w:tabs>
        <w:spacing w:before="12"/>
        <w:ind w:hanging="319"/>
        <w:rPr>
          <w:rFonts w:asciiTheme="minorEastAsia" w:hAnsiTheme="minorEastAsia" w:eastAsiaTheme="minorEastAsia"/>
          <w:sz w:val="21"/>
        </w:rPr>
      </w:pPr>
      <w:r>
        <w:rPr>
          <w:rFonts w:asciiTheme="minorEastAsia" w:hAnsiTheme="minorEastAsia" w:eastAsiaTheme="minorEastAsia"/>
          <w:spacing w:val="-3"/>
          <w:sz w:val="21"/>
        </w:rPr>
        <w:t>质疑人在规定的时间内不配合进行质疑调查处理的，按自动撤回《质疑函》处理。</w:t>
      </w:r>
    </w:p>
    <w:p>
      <w:pPr>
        <w:pStyle w:val="27"/>
        <w:numPr>
          <w:ilvl w:val="0"/>
          <w:numId w:val="4"/>
        </w:numPr>
        <w:tabs>
          <w:tab w:val="left" w:pos="1212"/>
        </w:tabs>
        <w:spacing w:before="12" w:line="247" w:lineRule="auto"/>
        <w:ind w:left="472" w:right="458" w:firstLine="420"/>
        <w:rPr>
          <w:rFonts w:asciiTheme="minorEastAsia" w:hAnsiTheme="minorEastAsia" w:eastAsiaTheme="minorEastAsia"/>
          <w:sz w:val="21"/>
        </w:rPr>
      </w:pPr>
      <w:r>
        <w:rPr>
          <w:rFonts w:asciiTheme="minorEastAsia" w:hAnsiTheme="minorEastAsia" w:eastAsiaTheme="minorEastAsia"/>
          <w:spacing w:val="-9"/>
          <w:sz w:val="21"/>
        </w:rPr>
        <w:t xml:space="preserve">质疑人不按《质疑函》格式就提出质疑的，作违约处理。招标人有权收取其保证金的 </w:t>
      </w:r>
      <w:r>
        <w:rPr>
          <w:rFonts w:asciiTheme="minorEastAsia" w:hAnsiTheme="minorEastAsia" w:eastAsiaTheme="minorEastAsia"/>
          <w:sz w:val="21"/>
        </w:rPr>
        <w:t>10</w:t>
      </w:r>
      <w:r>
        <w:rPr>
          <w:rFonts w:asciiTheme="minorEastAsia" w:hAnsiTheme="minorEastAsia" w:eastAsiaTheme="minorEastAsia"/>
          <w:spacing w:val="-1"/>
          <w:sz w:val="21"/>
        </w:rPr>
        <w:t>%作为违</w:t>
      </w:r>
      <w:r>
        <w:rPr>
          <w:rFonts w:asciiTheme="minorEastAsia" w:hAnsiTheme="minorEastAsia" w:eastAsiaTheme="minorEastAsia"/>
          <w:spacing w:val="-3"/>
          <w:sz w:val="21"/>
        </w:rPr>
        <w:t>约金；同时，视情列入不良供应商名单。</w:t>
      </w:r>
    </w:p>
    <w:p>
      <w:pPr>
        <w:pStyle w:val="27"/>
        <w:numPr>
          <w:ilvl w:val="0"/>
          <w:numId w:val="4"/>
        </w:numPr>
        <w:tabs>
          <w:tab w:val="left" w:pos="1212"/>
        </w:tabs>
        <w:spacing w:before="5" w:line="249" w:lineRule="auto"/>
        <w:ind w:left="472" w:right="350" w:firstLine="420"/>
        <w:rPr>
          <w:rFonts w:asciiTheme="minorEastAsia" w:hAnsiTheme="minorEastAsia" w:eastAsiaTheme="minorEastAsia"/>
          <w:sz w:val="21"/>
        </w:rPr>
      </w:pPr>
      <w:r>
        <w:rPr>
          <w:rFonts w:asciiTheme="minorEastAsia" w:hAnsiTheme="minorEastAsia" w:eastAsiaTheme="minorEastAsia"/>
          <w:spacing w:val="-3"/>
          <w:sz w:val="21"/>
        </w:rPr>
        <w:t xml:space="preserve">质疑人虽提供了相关佐证材料，但不能证明其质疑成立的，招标人请质疑人补充相关佐证材料， </w:t>
      </w:r>
      <w:r>
        <w:rPr>
          <w:rFonts w:asciiTheme="minorEastAsia" w:hAnsiTheme="minorEastAsia" w:eastAsiaTheme="minorEastAsia"/>
          <w:spacing w:val="-5"/>
          <w:sz w:val="21"/>
        </w:rPr>
        <w:t xml:space="preserve">仍不能证明其质疑成立的，作违约处理。招标人有权收取其保证金的 </w:t>
      </w:r>
      <w:r>
        <w:rPr>
          <w:rFonts w:asciiTheme="minorEastAsia" w:hAnsiTheme="minorEastAsia" w:eastAsiaTheme="minorEastAsia"/>
          <w:sz w:val="21"/>
        </w:rPr>
        <w:t>50</w:t>
      </w:r>
      <w:r>
        <w:rPr>
          <w:rFonts w:asciiTheme="minorEastAsia" w:hAnsiTheme="minorEastAsia" w:eastAsiaTheme="minorEastAsia"/>
          <w:spacing w:val="-3"/>
          <w:sz w:val="21"/>
        </w:rPr>
        <w:t>%作为违约金；同时，列入不良供应商名单。</w:t>
      </w:r>
    </w:p>
    <w:p>
      <w:pPr>
        <w:pStyle w:val="27"/>
        <w:numPr>
          <w:ilvl w:val="0"/>
          <w:numId w:val="4"/>
        </w:numPr>
        <w:tabs>
          <w:tab w:val="left" w:pos="1212"/>
        </w:tabs>
        <w:spacing w:before="1" w:line="249" w:lineRule="auto"/>
        <w:ind w:left="472" w:right="453" w:firstLine="420"/>
        <w:rPr>
          <w:rFonts w:asciiTheme="minorEastAsia" w:hAnsiTheme="minorEastAsia" w:eastAsiaTheme="minorEastAsia"/>
          <w:sz w:val="21"/>
        </w:rPr>
      </w:pPr>
      <w:r>
        <w:rPr>
          <w:rFonts w:asciiTheme="minorEastAsia" w:hAnsiTheme="minorEastAsia" w:eastAsiaTheme="minorEastAsia"/>
          <w:spacing w:val="-8"/>
          <w:sz w:val="21"/>
        </w:rPr>
        <w:t xml:space="preserve">质疑人不能提供相关佐证材料的，招标人已指出，质疑人仍然坚持提出质疑的，作违约处理。 </w:t>
      </w:r>
      <w:r>
        <w:rPr>
          <w:rFonts w:asciiTheme="minorEastAsia" w:hAnsiTheme="minorEastAsia" w:eastAsiaTheme="minorEastAsia"/>
          <w:spacing w:val="-7"/>
          <w:sz w:val="21"/>
        </w:rPr>
        <w:t xml:space="preserve">招标人有权收取其保证金的 </w:t>
      </w:r>
      <w:r>
        <w:rPr>
          <w:rFonts w:asciiTheme="minorEastAsia" w:hAnsiTheme="minorEastAsia" w:eastAsiaTheme="minorEastAsia"/>
          <w:sz w:val="21"/>
        </w:rPr>
        <w:t>100%</w:t>
      </w:r>
      <w:r>
        <w:rPr>
          <w:rFonts w:asciiTheme="minorEastAsia" w:hAnsiTheme="minorEastAsia" w:eastAsiaTheme="minorEastAsia"/>
          <w:spacing w:val="-6"/>
          <w:sz w:val="21"/>
        </w:rPr>
        <w:t xml:space="preserve">作为违约金；取消相应会员资格 </w:t>
      </w:r>
      <w:r>
        <w:rPr>
          <w:rFonts w:asciiTheme="minorEastAsia" w:hAnsiTheme="minorEastAsia" w:eastAsiaTheme="minorEastAsia"/>
          <w:sz w:val="21"/>
        </w:rPr>
        <w:t>6</w:t>
      </w:r>
      <w:r>
        <w:rPr>
          <w:rFonts w:asciiTheme="minorEastAsia" w:hAnsiTheme="minorEastAsia" w:eastAsiaTheme="minorEastAsia"/>
          <w:spacing w:val="-8"/>
          <w:sz w:val="21"/>
        </w:rPr>
        <w:t xml:space="preserve"> 个月，同时，列入不良供应商名单。</w:t>
      </w:r>
    </w:p>
    <w:p>
      <w:pPr>
        <w:pStyle w:val="27"/>
        <w:numPr>
          <w:ilvl w:val="0"/>
          <w:numId w:val="4"/>
        </w:numPr>
        <w:tabs>
          <w:tab w:val="left" w:pos="1212"/>
        </w:tabs>
        <w:spacing w:line="249" w:lineRule="auto"/>
        <w:ind w:left="472" w:right="350" w:firstLine="420"/>
        <w:jc w:val="both"/>
        <w:rPr>
          <w:rFonts w:asciiTheme="minorEastAsia" w:hAnsiTheme="minorEastAsia" w:eastAsiaTheme="minorEastAsia"/>
          <w:sz w:val="21"/>
        </w:rPr>
      </w:pPr>
      <w:r>
        <w:rPr>
          <w:rFonts w:asciiTheme="minorEastAsia" w:hAnsiTheme="minorEastAsia" w:eastAsiaTheme="minorEastAsia"/>
          <w:spacing w:val="-8"/>
          <w:sz w:val="21"/>
        </w:rPr>
        <w:t>对明显有违背事实的、经相关专家或评委认定无依据的、经其他投标人举证无依据的质疑，作违</w:t>
      </w:r>
      <w:r>
        <w:rPr>
          <w:rFonts w:asciiTheme="minorEastAsia" w:hAnsiTheme="minorEastAsia" w:eastAsiaTheme="minorEastAsia"/>
          <w:spacing w:val="-7"/>
          <w:sz w:val="21"/>
        </w:rPr>
        <w:t xml:space="preserve">约处理，招标人有权取消其会员资格，收取其保证金的 </w:t>
      </w:r>
      <w:r>
        <w:rPr>
          <w:rFonts w:asciiTheme="minorEastAsia" w:hAnsiTheme="minorEastAsia" w:eastAsiaTheme="minorEastAsia"/>
          <w:sz w:val="21"/>
        </w:rPr>
        <w:t>100</w:t>
      </w:r>
      <w:r>
        <w:rPr>
          <w:rFonts w:asciiTheme="minorEastAsia" w:hAnsiTheme="minorEastAsia" w:eastAsiaTheme="minorEastAsia"/>
          <w:spacing w:val="-3"/>
          <w:sz w:val="21"/>
        </w:rPr>
        <w:t xml:space="preserve">%作为违约金，列入不良供应商名单；同时， </w:t>
      </w:r>
      <w:r>
        <w:rPr>
          <w:rFonts w:asciiTheme="minorEastAsia" w:hAnsiTheme="minorEastAsia" w:eastAsiaTheme="minorEastAsia"/>
          <w:spacing w:val="-5"/>
          <w:sz w:val="21"/>
        </w:rPr>
        <w:t xml:space="preserve">对其中每一项不成立的质疑给予质疑人 </w:t>
      </w:r>
      <w:r>
        <w:rPr>
          <w:rFonts w:asciiTheme="minorEastAsia" w:hAnsiTheme="minorEastAsia" w:eastAsiaTheme="minorEastAsia"/>
          <w:sz w:val="21"/>
        </w:rPr>
        <w:t>1</w:t>
      </w:r>
      <w:r>
        <w:rPr>
          <w:rFonts w:asciiTheme="minorEastAsia" w:hAnsiTheme="minorEastAsia" w:eastAsiaTheme="minorEastAsia"/>
          <w:spacing w:val="-12"/>
          <w:sz w:val="21"/>
        </w:rPr>
        <w:t xml:space="preserve"> 年内禁入由招标人组织的政府采购活动的违约处理，依次类推； </w:t>
      </w:r>
      <w:r>
        <w:rPr>
          <w:rFonts w:asciiTheme="minorEastAsia" w:hAnsiTheme="minorEastAsia" w:eastAsiaTheme="minorEastAsia"/>
          <w:spacing w:val="-6"/>
          <w:sz w:val="21"/>
        </w:rPr>
        <w:t>视情在南通市公共资源交易中心网、省、国家级相关媒体予以披露。</w:t>
      </w:r>
    </w:p>
    <w:p>
      <w:pPr>
        <w:pStyle w:val="27"/>
        <w:numPr>
          <w:ilvl w:val="0"/>
          <w:numId w:val="4"/>
        </w:numPr>
        <w:tabs>
          <w:tab w:val="left" w:pos="1212"/>
        </w:tabs>
        <w:spacing w:before="1"/>
        <w:ind w:hanging="319"/>
        <w:rPr>
          <w:rFonts w:asciiTheme="minorEastAsia" w:hAnsiTheme="minorEastAsia" w:eastAsiaTheme="minorEastAsia"/>
          <w:sz w:val="21"/>
        </w:rPr>
      </w:pPr>
      <w:r>
        <w:rPr>
          <w:rFonts w:asciiTheme="minorEastAsia" w:hAnsiTheme="minorEastAsia" w:eastAsiaTheme="minorEastAsia"/>
          <w:spacing w:val="-3"/>
          <w:sz w:val="21"/>
        </w:rPr>
        <w:t>质疑人承担使用虚假材料或恶意方式质疑的法律责任。</w:t>
      </w:r>
    </w:p>
    <w:p>
      <w:pPr>
        <w:pStyle w:val="11"/>
        <w:spacing w:before="12" w:line="249" w:lineRule="auto"/>
        <w:ind w:left="472" w:right="230" w:firstLine="420"/>
        <w:jc w:val="both"/>
        <w:rPr>
          <w:rFonts w:asciiTheme="minorEastAsia" w:hAnsiTheme="minorEastAsia" w:eastAsiaTheme="minorEastAsia"/>
        </w:rPr>
      </w:pPr>
      <w:r>
        <w:rPr>
          <w:rFonts w:asciiTheme="minorEastAsia" w:hAnsiTheme="minorEastAsia" w:eastAsiaTheme="minorEastAsia"/>
          <w:b/>
          <w:spacing w:val="-1"/>
        </w:rPr>
        <w:t>四、无佐证材料的举报作违约处理。</w:t>
      </w:r>
      <w:r>
        <w:rPr>
          <w:rFonts w:asciiTheme="minorEastAsia" w:hAnsiTheme="minorEastAsia" w:eastAsiaTheme="minorEastAsia"/>
          <w:spacing w:val="-3"/>
        </w:rPr>
        <w:t>供应商不得进行不提供相关佐证材料</w:t>
      </w:r>
      <w:r>
        <w:rPr>
          <w:rFonts w:asciiTheme="minorEastAsia" w:hAnsiTheme="minorEastAsia" w:eastAsiaTheme="minorEastAsia"/>
        </w:rPr>
        <w:t>（</w:t>
      </w:r>
      <w:r>
        <w:rPr>
          <w:rFonts w:asciiTheme="minorEastAsia" w:hAnsiTheme="minorEastAsia" w:eastAsiaTheme="minorEastAsia"/>
          <w:spacing w:val="-3"/>
        </w:rPr>
        <w:t>含无法查实的如宣传册、</w:t>
      </w:r>
      <w:r>
        <w:rPr>
          <w:rFonts w:asciiTheme="minorEastAsia" w:hAnsiTheme="minorEastAsia" w:eastAsiaTheme="minorEastAsia"/>
          <w:spacing w:val="-5"/>
        </w:rPr>
        <w:t>媒体报道、猜测、推理等</w:t>
      </w:r>
      <w:r>
        <w:rPr>
          <w:rFonts w:asciiTheme="minorEastAsia" w:hAnsiTheme="minorEastAsia" w:eastAsiaTheme="minorEastAsia"/>
          <w:spacing w:val="-4"/>
        </w:rPr>
        <w:t>）</w:t>
      </w:r>
      <w:r>
        <w:rPr>
          <w:rFonts w:asciiTheme="minorEastAsia" w:hAnsiTheme="minorEastAsia" w:eastAsiaTheme="minorEastAsia"/>
          <w:spacing w:val="-5"/>
        </w:rPr>
        <w:t>向有关部门的举报，否则作违约处理。招标人有权取消其相应的会员资格，同</w:t>
      </w:r>
      <w:r>
        <w:rPr>
          <w:rFonts w:asciiTheme="minorEastAsia" w:hAnsiTheme="minorEastAsia" w:eastAsiaTheme="minorEastAsia"/>
          <w:spacing w:val="-4"/>
        </w:rPr>
        <w:t>时对其在</w:t>
      </w:r>
      <w:r>
        <w:rPr>
          <w:rFonts w:asciiTheme="minorEastAsia" w:hAnsiTheme="minorEastAsia" w:eastAsiaTheme="minorEastAsia"/>
          <w:spacing w:val="-3"/>
        </w:rPr>
        <w:t>1</w:t>
      </w:r>
      <w:r>
        <w:rPr>
          <w:rFonts w:asciiTheme="minorEastAsia" w:hAnsiTheme="minorEastAsia" w:eastAsiaTheme="minorEastAsia"/>
        </w:rPr>
        <w:t>至3</w:t>
      </w:r>
      <w:r>
        <w:rPr>
          <w:rFonts w:asciiTheme="minorEastAsia" w:hAnsiTheme="minorEastAsia" w:eastAsiaTheme="minorEastAsia"/>
          <w:spacing w:val="-3"/>
        </w:rPr>
        <w:t>年内禁入由招标人组织的政府采购活动的违约处理。</w:t>
      </w:r>
    </w:p>
    <w:p>
      <w:pPr>
        <w:pStyle w:val="11"/>
        <w:spacing w:before="1" w:line="249" w:lineRule="auto"/>
        <w:ind w:left="472" w:right="350" w:firstLine="422"/>
        <w:rPr>
          <w:rFonts w:asciiTheme="minorEastAsia" w:hAnsiTheme="minorEastAsia" w:eastAsiaTheme="minorEastAsia"/>
        </w:rPr>
      </w:pPr>
      <w:r>
        <w:rPr>
          <w:rFonts w:asciiTheme="minorEastAsia" w:hAnsiTheme="minorEastAsia" w:eastAsiaTheme="minorEastAsia"/>
          <w:b/>
          <w:spacing w:val="-8"/>
        </w:rPr>
        <w:t>五、投诉不成立的作违约处理。</w:t>
      </w:r>
      <w:r>
        <w:rPr>
          <w:rFonts w:asciiTheme="minorEastAsia" w:hAnsiTheme="minorEastAsia" w:eastAsiaTheme="minorEastAsia"/>
          <w:spacing w:val="-8"/>
        </w:rPr>
        <w:t xml:space="preserve">供应商进行质疑后，招标人回复质疑不成立，供应商仍进行投诉的， </w:t>
      </w:r>
      <w:r>
        <w:rPr>
          <w:rFonts w:asciiTheme="minorEastAsia" w:hAnsiTheme="minorEastAsia" w:eastAsiaTheme="minorEastAsia"/>
          <w:spacing w:val="-7"/>
        </w:rPr>
        <w:t xml:space="preserve">并最终投诉不成立的，作违约处理。招标人有权取消其相应的会员资格，同时对其在 </w:t>
      </w:r>
      <w:r>
        <w:rPr>
          <w:rFonts w:asciiTheme="minorEastAsia" w:hAnsiTheme="minorEastAsia" w:eastAsiaTheme="minorEastAsia"/>
        </w:rPr>
        <w:t>1</w:t>
      </w:r>
      <w:r>
        <w:rPr>
          <w:rFonts w:asciiTheme="minorEastAsia" w:hAnsiTheme="minorEastAsia" w:eastAsiaTheme="minorEastAsia"/>
          <w:spacing w:val="-31"/>
        </w:rPr>
        <w:t xml:space="preserve"> 至 </w:t>
      </w:r>
      <w:r>
        <w:rPr>
          <w:rFonts w:asciiTheme="minorEastAsia" w:hAnsiTheme="minorEastAsia" w:eastAsiaTheme="minorEastAsia"/>
        </w:rPr>
        <w:t>3</w:t>
      </w:r>
      <w:r>
        <w:rPr>
          <w:rFonts w:asciiTheme="minorEastAsia" w:hAnsiTheme="minorEastAsia" w:eastAsiaTheme="minorEastAsia"/>
          <w:spacing w:val="-10"/>
        </w:rPr>
        <w:t xml:space="preserve"> 年内禁入由</w:t>
      </w:r>
      <w:r>
        <w:rPr>
          <w:rFonts w:asciiTheme="minorEastAsia" w:hAnsiTheme="minorEastAsia" w:eastAsiaTheme="minorEastAsia"/>
          <w:spacing w:val="-5"/>
        </w:rPr>
        <w:t>招标人组织的政府采购活动的违约处理。</w:t>
      </w:r>
    </w:p>
    <w:p>
      <w:pPr>
        <w:spacing w:line="247" w:lineRule="auto"/>
        <w:ind w:left="472" w:right="455" w:firstLine="422"/>
        <w:rPr>
          <w:rFonts w:asciiTheme="minorEastAsia" w:hAnsiTheme="minorEastAsia" w:eastAsiaTheme="minorEastAsia"/>
          <w:sz w:val="21"/>
        </w:rPr>
      </w:pPr>
      <w:r>
        <w:rPr>
          <w:rFonts w:asciiTheme="minorEastAsia" w:hAnsiTheme="minorEastAsia" w:eastAsiaTheme="minorEastAsia"/>
          <w:b/>
          <w:spacing w:val="-5"/>
          <w:sz w:val="21"/>
        </w:rPr>
        <w:t>六、《质疑函》、《质疑回复函》，质疑、举报、投诉不成立的</w:t>
      </w:r>
      <w:r>
        <w:rPr>
          <w:rFonts w:asciiTheme="minorEastAsia" w:hAnsiTheme="minorEastAsia" w:eastAsiaTheme="minorEastAsia"/>
          <w:spacing w:val="-3"/>
          <w:sz w:val="21"/>
        </w:rPr>
        <w:t>等相关情况，视情在南通政府采购</w:t>
      </w:r>
      <w:r>
        <w:rPr>
          <w:rFonts w:asciiTheme="minorEastAsia" w:hAnsiTheme="minorEastAsia" w:eastAsiaTheme="minorEastAsia"/>
          <w:spacing w:val="-4"/>
          <w:sz w:val="21"/>
        </w:rPr>
        <w:t xml:space="preserve">网、省、国家级等相关媒体予以披露。并建议相关政府采购机构对该供应商同步实施 </w:t>
      </w:r>
      <w:r>
        <w:rPr>
          <w:rFonts w:asciiTheme="minorEastAsia" w:hAnsiTheme="minorEastAsia" w:eastAsiaTheme="minorEastAsia"/>
          <w:sz w:val="21"/>
        </w:rPr>
        <w:t>1</w:t>
      </w:r>
      <w:r>
        <w:rPr>
          <w:rFonts w:asciiTheme="minorEastAsia" w:hAnsiTheme="minorEastAsia" w:eastAsiaTheme="minorEastAsia"/>
          <w:spacing w:val="-29"/>
          <w:sz w:val="21"/>
        </w:rPr>
        <w:t xml:space="preserve"> 至 </w:t>
      </w:r>
      <w:r>
        <w:rPr>
          <w:rFonts w:asciiTheme="minorEastAsia" w:hAnsiTheme="minorEastAsia" w:eastAsiaTheme="minorEastAsia"/>
          <w:sz w:val="21"/>
        </w:rPr>
        <w:t>3</w:t>
      </w:r>
      <w:r>
        <w:rPr>
          <w:rFonts w:asciiTheme="minorEastAsia" w:hAnsiTheme="minorEastAsia" w:eastAsiaTheme="minorEastAsia"/>
          <w:spacing w:val="-10"/>
          <w:sz w:val="21"/>
        </w:rPr>
        <w:t xml:space="preserve"> 年内禁入。</w:t>
      </w:r>
    </w:p>
    <w:p>
      <w:pPr>
        <w:pStyle w:val="11"/>
        <w:spacing w:before="7"/>
        <w:rPr>
          <w:rFonts w:asciiTheme="minorEastAsia" w:hAnsiTheme="minorEastAsia" w:eastAsiaTheme="minorEastAsia"/>
          <w:sz w:val="22"/>
        </w:rPr>
      </w:pPr>
    </w:p>
    <w:p>
      <w:pPr>
        <w:pStyle w:val="2"/>
        <w:ind w:left="6"/>
        <w:rPr>
          <w:rFonts w:asciiTheme="minorEastAsia" w:hAnsiTheme="minorEastAsia" w:eastAsiaTheme="minorEastAsia"/>
        </w:rPr>
      </w:pPr>
      <w:r>
        <w:rPr>
          <w:rFonts w:asciiTheme="minorEastAsia" w:hAnsiTheme="minorEastAsia" w:eastAsiaTheme="minorEastAsia"/>
        </w:rPr>
        <w:t>第七部分 投标文件格式</w:t>
      </w:r>
    </w:p>
    <w:p>
      <w:pPr>
        <w:pStyle w:val="5"/>
        <w:spacing w:before="45"/>
        <w:ind w:left="9"/>
        <w:rPr>
          <w:rFonts w:asciiTheme="minorEastAsia" w:hAnsiTheme="minorEastAsia" w:eastAsiaTheme="minorEastAsia"/>
        </w:rPr>
      </w:pPr>
      <w:r>
        <w:rPr>
          <w:rFonts w:asciiTheme="minorEastAsia" w:hAnsiTheme="minorEastAsia" w:eastAsiaTheme="minorEastAsia"/>
        </w:rPr>
        <w:t>投标资料目录</w:t>
      </w:r>
    </w:p>
    <w:p>
      <w:pPr>
        <w:pStyle w:val="11"/>
        <w:spacing w:before="1"/>
        <w:rPr>
          <w:rFonts w:asciiTheme="minorEastAsia" w:hAnsiTheme="minorEastAsia" w:eastAsiaTheme="minorEastAsia"/>
          <w:b/>
          <w:sz w:val="18"/>
        </w:rPr>
      </w:pPr>
    </w:p>
    <w:tbl>
      <w:tblPr>
        <w:tblStyle w:val="23"/>
        <w:tblW w:w="0" w:type="auto"/>
        <w:tblInd w:w="3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8"/>
        <w:gridCol w:w="2737"/>
        <w:gridCol w:w="2055"/>
        <w:gridCol w:w="772"/>
        <w:gridCol w:w="770"/>
        <w:gridCol w:w="1449"/>
        <w:gridCol w:w="14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728" w:type="dxa"/>
          </w:tcPr>
          <w:p>
            <w:pPr>
              <w:pStyle w:val="28"/>
              <w:spacing w:before="150"/>
              <w:ind w:left="137" w:right="121"/>
              <w:jc w:val="center"/>
              <w:rPr>
                <w:rFonts w:asciiTheme="minorEastAsia" w:hAnsiTheme="minorEastAsia" w:eastAsiaTheme="minorEastAsia"/>
                <w:sz w:val="21"/>
              </w:rPr>
            </w:pPr>
            <w:r>
              <w:rPr>
                <w:rFonts w:asciiTheme="minorEastAsia" w:hAnsiTheme="minorEastAsia" w:eastAsiaTheme="minorEastAsia"/>
                <w:sz w:val="21"/>
              </w:rPr>
              <w:t>序号</w:t>
            </w:r>
          </w:p>
        </w:tc>
        <w:tc>
          <w:tcPr>
            <w:tcW w:w="2737" w:type="dxa"/>
          </w:tcPr>
          <w:p>
            <w:pPr>
              <w:pStyle w:val="28"/>
              <w:spacing w:before="150"/>
              <w:ind w:left="210" w:right="198"/>
              <w:jc w:val="center"/>
              <w:rPr>
                <w:rFonts w:asciiTheme="minorEastAsia" w:hAnsiTheme="minorEastAsia" w:eastAsiaTheme="minorEastAsia"/>
                <w:sz w:val="21"/>
              </w:rPr>
            </w:pPr>
            <w:r>
              <w:rPr>
                <w:rFonts w:asciiTheme="minorEastAsia" w:hAnsiTheme="minorEastAsia" w:eastAsiaTheme="minorEastAsia"/>
                <w:sz w:val="21"/>
              </w:rPr>
              <w:t>采购文件要求</w:t>
            </w:r>
          </w:p>
        </w:tc>
        <w:tc>
          <w:tcPr>
            <w:tcW w:w="2055" w:type="dxa"/>
          </w:tcPr>
          <w:p>
            <w:pPr>
              <w:pStyle w:val="28"/>
              <w:spacing w:before="150"/>
              <w:ind w:left="395"/>
              <w:rPr>
                <w:rFonts w:asciiTheme="minorEastAsia" w:hAnsiTheme="minorEastAsia" w:eastAsiaTheme="minorEastAsia"/>
                <w:sz w:val="21"/>
              </w:rPr>
            </w:pPr>
            <w:r>
              <w:rPr>
                <w:rFonts w:asciiTheme="minorEastAsia" w:hAnsiTheme="minorEastAsia" w:eastAsiaTheme="minorEastAsia"/>
                <w:sz w:val="21"/>
              </w:rPr>
              <w:t>证明材料名称</w:t>
            </w:r>
          </w:p>
        </w:tc>
        <w:tc>
          <w:tcPr>
            <w:tcW w:w="1542" w:type="dxa"/>
            <w:gridSpan w:val="2"/>
          </w:tcPr>
          <w:p>
            <w:pPr>
              <w:pStyle w:val="28"/>
              <w:spacing w:before="150"/>
              <w:ind w:left="137"/>
              <w:rPr>
                <w:rFonts w:asciiTheme="minorEastAsia" w:hAnsiTheme="minorEastAsia" w:eastAsiaTheme="minorEastAsia"/>
                <w:sz w:val="21"/>
              </w:rPr>
            </w:pPr>
            <w:r>
              <w:rPr>
                <w:rFonts w:asciiTheme="minorEastAsia" w:hAnsiTheme="minorEastAsia" w:eastAsiaTheme="minorEastAsia"/>
                <w:sz w:val="21"/>
              </w:rPr>
              <w:t>响应文件位置</w:t>
            </w:r>
          </w:p>
        </w:tc>
        <w:tc>
          <w:tcPr>
            <w:tcW w:w="1449" w:type="dxa"/>
            <w:tcBorders>
              <w:right w:val="nil"/>
            </w:tcBorders>
          </w:tcPr>
          <w:p>
            <w:pPr>
              <w:pStyle w:val="28"/>
              <w:spacing w:before="150"/>
              <w:ind w:right="102"/>
              <w:jc w:val="right"/>
              <w:rPr>
                <w:rFonts w:asciiTheme="minorEastAsia" w:hAnsiTheme="minorEastAsia" w:eastAsiaTheme="minorEastAsia"/>
                <w:sz w:val="21"/>
              </w:rPr>
            </w:pPr>
            <w:r>
              <w:rPr>
                <w:rFonts w:asciiTheme="minorEastAsia" w:hAnsiTheme="minorEastAsia" w:eastAsiaTheme="minorEastAsia"/>
                <w:sz w:val="21"/>
              </w:rPr>
              <w:t>说</w:t>
            </w:r>
          </w:p>
        </w:tc>
        <w:tc>
          <w:tcPr>
            <w:tcW w:w="1444" w:type="dxa"/>
            <w:tcBorders>
              <w:left w:val="nil"/>
            </w:tcBorders>
          </w:tcPr>
          <w:p>
            <w:pPr>
              <w:pStyle w:val="28"/>
              <w:spacing w:before="150"/>
              <w:ind w:left="106"/>
              <w:rPr>
                <w:rFonts w:asciiTheme="minorEastAsia" w:hAnsiTheme="minorEastAsia" w:eastAsiaTheme="minorEastAsia"/>
                <w:sz w:val="21"/>
              </w:rPr>
            </w:pPr>
            <w:r>
              <w:rPr>
                <w:rFonts w:asciiTheme="minorEastAsia" w:hAnsiTheme="minorEastAsia" w:eastAsiaTheme="minorEastAsia"/>
                <w:sz w:val="21"/>
              </w:rPr>
              <w:t>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728" w:type="dxa"/>
            <w:vAlign w:val="center"/>
          </w:tcPr>
          <w:p>
            <w:pPr>
              <w:pStyle w:val="28"/>
              <w:spacing w:before="162"/>
              <w:ind w:left="12"/>
              <w:jc w:val="center"/>
              <w:rPr>
                <w:rFonts w:asciiTheme="minorEastAsia" w:hAnsiTheme="minorEastAsia" w:eastAsiaTheme="minorEastAsia"/>
                <w:sz w:val="21"/>
              </w:rPr>
            </w:pPr>
            <w:r>
              <w:rPr>
                <w:rFonts w:asciiTheme="minorEastAsia" w:hAnsiTheme="minorEastAsia" w:eastAsiaTheme="minorEastAsia"/>
                <w:sz w:val="21"/>
              </w:rPr>
              <w:t>1</w:t>
            </w:r>
          </w:p>
        </w:tc>
        <w:tc>
          <w:tcPr>
            <w:tcW w:w="2737" w:type="dxa"/>
            <w:vAlign w:val="center"/>
          </w:tcPr>
          <w:p>
            <w:pPr>
              <w:pStyle w:val="28"/>
              <w:spacing w:before="162"/>
              <w:ind w:left="213" w:right="198"/>
              <w:jc w:val="center"/>
              <w:rPr>
                <w:rFonts w:asciiTheme="minorEastAsia" w:hAnsiTheme="minorEastAsia" w:eastAsiaTheme="minorEastAsia"/>
                <w:sz w:val="21"/>
              </w:rPr>
            </w:pPr>
            <w:r>
              <w:rPr>
                <w:rFonts w:asciiTheme="minorEastAsia" w:hAnsiTheme="minorEastAsia" w:eastAsiaTheme="minorEastAsia"/>
                <w:sz w:val="21"/>
              </w:rPr>
              <w:t>关于资格的声明函</w:t>
            </w:r>
          </w:p>
        </w:tc>
        <w:tc>
          <w:tcPr>
            <w:tcW w:w="2055" w:type="dxa"/>
          </w:tcPr>
          <w:p>
            <w:pPr>
              <w:pStyle w:val="28"/>
              <w:rPr>
                <w:rFonts w:asciiTheme="minorEastAsia" w:hAnsiTheme="minorEastAsia" w:eastAsiaTheme="minorEastAsia"/>
                <w:sz w:val="20"/>
              </w:rPr>
            </w:pPr>
          </w:p>
        </w:tc>
        <w:tc>
          <w:tcPr>
            <w:tcW w:w="772" w:type="dxa"/>
            <w:tcBorders>
              <w:right w:val="nil"/>
            </w:tcBorders>
          </w:tcPr>
          <w:p>
            <w:pPr>
              <w:pStyle w:val="28"/>
              <w:spacing w:before="162"/>
              <w:ind w:right="204"/>
              <w:jc w:val="right"/>
              <w:rPr>
                <w:rFonts w:asciiTheme="minorEastAsia" w:hAnsiTheme="minorEastAsia" w:eastAsiaTheme="minorEastAsia"/>
                <w:sz w:val="21"/>
              </w:rPr>
            </w:pPr>
            <w:r>
              <w:rPr>
                <w:rFonts w:asciiTheme="minorEastAsia" w:hAnsiTheme="minorEastAsia" w:eastAsiaTheme="minorEastAsia"/>
                <w:sz w:val="21"/>
              </w:rPr>
              <w:t>第</w:t>
            </w:r>
          </w:p>
        </w:tc>
        <w:tc>
          <w:tcPr>
            <w:tcW w:w="770" w:type="dxa"/>
            <w:tcBorders>
              <w:left w:val="nil"/>
            </w:tcBorders>
          </w:tcPr>
          <w:p>
            <w:pPr>
              <w:pStyle w:val="28"/>
              <w:spacing w:before="162"/>
              <w:ind w:left="213"/>
              <w:rPr>
                <w:rFonts w:asciiTheme="minorEastAsia" w:hAnsiTheme="minorEastAsia" w:eastAsiaTheme="minorEastAsia"/>
                <w:sz w:val="21"/>
              </w:rPr>
            </w:pPr>
            <w:r>
              <w:rPr>
                <w:rFonts w:asciiTheme="minorEastAsia" w:hAnsiTheme="minorEastAsia" w:eastAsiaTheme="minorEastAsia"/>
                <w:sz w:val="21"/>
              </w:rPr>
              <w:t>页</w:t>
            </w:r>
          </w:p>
        </w:tc>
        <w:tc>
          <w:tcPr>
            <w:tcW w:w="2893" w:type="dxa"/>
            <w:gridSpan w:val="2"/>
          </w:tcPr>
          <w:p>
            <w:pPr>
              <w:pStyle w:val="28"/>
              <w:spacing w:before="162"/>
              <w:ind w:left="1062" w:right="1055"/>
              <w:jc w:val="center"/>
              <w:rPr>
                <w:rFonts w:asciiTheme="minorEastAsia" w:hAnsiTheme="minorEastAsia" w:eastAsiaTheme="minorEastAsia"/>
                <w:sz w:val="21"/>
              </w:rPr>
            </w:pPr>
            <w:r>
              <w:rPr>
                <w:rFonts w:asciiTheme="minorEastAsia" w:hAnsiTheme="minorEastAsia" w:eastAsiaTheme="minorEastAsia"/>
                <w:sz w:val="21"/>
              </w:rPr>
              <w:t>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728" w:type="dxa"/>
            <w:vAlign w:val="center"/>
          </w:tcPr>
          <w:p>
            <w:pPr>
              <w:pStyle w:val="28"/>
              <w:spacing w:before="164"/>
              <w:ind w:left="12"/>
              <w:jc w:val="center"/>
              <w:rPr>
                <w:rFonts w:asciiTheme="minorEastAsia" w:hAnsiTheme="minorEastAsia" w:eastAsiaTheme="minorEastAsia"/>
                <w:sz w:val="21"/>
              </w:rPr>
            </w:pPr>
            <w:r>
              <w:rPr>
                <w:rFonts w:asciiTheme="minorEastAsia" w:hAnsiTheme="minorEastAsia" w:eastAsiaTheme="minorEastAsia"/>
                <w:sz w:val="21"/>
              </w:rPr>
              <w:t>2</w:t>
            </w:r>
          </w:p>
        </w:tc>
        <w:tc>
          <w:tcPr>
            <w:tcW w:w="2737" w:type="dxa"/>
            <w:vAlign w:val="center"/>
          </w:tcPr>
          <w:p>
            <w:pPr>
              <w:pStyle w:val="28"/>
              <w:spacing w:before="164"/>
              <w:ind w:left="210" w:right="198"/>
              <w:jc w:val="center"/>
              <w:rPr>
                <w:rFonts w:asciiTheme="minorEastAsia" w:hAnsiTheme="minorEastAsia" w:eastAsiaTheme="minorEastAsia"/>
                <w:sz w:val="21"/>
              </w:rPr>
            </w:pPr>
            <w:r>
              <w:rPr>
                <w:rFonts w:asciiTheme="minorEastAsia" w:hAnsiTheme="minorEastAsia" w:eastAsiaTheme="minorEastAsia"/>
                <w:sz w:val="21"/>
              </w:rPr>
              <w:t>法定代表人身份证明书</w:t>
            </w:r>
          </w:p>
        </w:tc>
        <w:tc>
          <w:tcPr>
            <w:tcW w:w="2055" w:type="dxa"/>
          </w:tcPr>
          <w:p>
            <w:pPr>
              <w:pStyle w:val="28"/>
              <w:rPr>
                <w:rFonts w:asciiTheme="minorEastAsia" w:hAnsiTheme="minorEastAsia" w:eastAsiaTheme="minorEastAsia"/>
                <w:sz w:val="20"/>
              </w:rPr>
            </w:pPr>
          </w:p>
        </w:tc>
        <w:tc>
          <w:tcPr>
            <w:tcW w:w="772" w:type="dxa"/>
            <w:tcBorders>
              <w:right w:val="nil"/>
            </w:tcBorders>
          </w:tcPr>
          <w:p>
            <w:pPr>
              <w:pStyle w:val="28"/>
              <w:spacing w:before="164"/>
              <w:ind w:right="204"/>
              <w:jc w:val="right"/>
              <w:rPr>
                <w:rFonts w:asciiTheme="minorEastAsia" w:hAnsiTheme="minorEastAsia" w:eastAsiaTheme="minorEastAsia"/>
                <w:sz w:val="21"/>
              </w:rPr>
            </w:pPr>
            <w:r>
              <w:rPr>
                <w:rFonts w:asciiTheme="minorEastAsia" w:hAnsiTheme="minorEastAsia" w:eastAsiaTheme="minorEastAsia"/>
                <w:sz w:val="21"/>
              </w:rPr>
              <w:t>第</w:t>
            </w:r>
          </w:p>
        </w:tc>
        <w:tc>
          <w:tcPr>
            <w:tcW w:w="770" w:type="dxa"/>
            <w:tcBorders>
              <w:left w:val="nil"/>
            </w:tcBorders>
          </w:tcPr>
          <w:p>
            <w:pPr>
              <w:pStyle w:val="28"/>
              <w:spacing w:before="164"/>
              <w:ind w:left="213"/>
              <w:rPr>
                <w:rFonts w:asciiTheme="minorEastAsia" w:hAnsiTheme="minorEastAsia" w:eastAsiaTheme="minorEastAsia"/>
                <w:sz w:val="21"/>
              </w:rPr>
            </w:pPr>
            <w:r>
              <w:rPr>
                <w:rFonts w:asciiTheme="minorEastAsia" w:hAnsiTheme="minorEastAsia" w:eastAsiaTheme="minorEastAsia"/>
                <w:sz w:val="21"/>
              </w:rPr>
              <w:t>页</w:t>
            </w:r>
          </w:p>
        </w:tc>
        <w:tc>
          <w:tcPr>
            <w:tcW w:w="2893" w:type="dxa"/>
            <w:gridSpan w:val="2"/>
          </w:tcPr>
          <w:p>
            <w:pPr>
              <w:pStyle w:val="28"/>
              <w:spacing w:before="164"/>
              <w:ind w:left="1062" w:right="1055"/>
              <w:jc w:val="center"/>
              <w:rPr>
                <w:rFonts w:asciiTheme="minorEastAsia" w:hAnsiTheme="minorEastAsia" w:eastAsiaTheme="minorEastAsia"/>
                <w:sz w:val="21"/>
              </w:rPr>
            </w:pPr>
            <w:r>
              <w:rPr>
                <w:rFonts w:asciiTheme="minorEastAsia" w:hAnsiTheme="minorEastAsia" w:eastAsiaTheme="minorEastAsia"/>
                <w:sz w:val="21"/>
              </w:rPr>
              <w:t>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728" w:type="dxa"/>
            <w:vAlign w:val="center"/>
          </w:tcPr>
          <w:p>
            <w:pPr>
              <w:pStyle w:val="28"/>
              <w:spacing w:before="162"/>
              <w:ind w:left="12"/>
              <w:jc w:val="center"/>
              <w:rPr>
                <w:rFonts w:asciiTheme="minorEastAsia" w:hAnsiTheme="minorEastAsia" w:eastAsiaTheme="minorEastAsia"/>
                <w:sz w:val="21"/>
              </w:rPr>
            </w:pPr>
            <w:r>
              <w:rPr>
                <w:rFonts w:asciiTheme="minorEastAsia" w:hAnsiTheme="minorEastAsia" w:eastAsiaTheme="minorEastAsia"/>
                <w:sz w:val="21"/>
              </w:rPr>
              <w:t>3</w:t>
            </w:r>
          </w:p>
        </w:tc>
        <w:tc>
          <w:tcPr>
            <w:tcW w:w="2737" w:type="dxa"/>
            <w:vAlign w:val="center"/>
          </w:tcPr>
          <w:p>
            <w:pPr>
              <w:pStyle w:val="28"/>
              <w:spacing w:before="162"/>
              <w:ind w:left="213" w:right="198"/>
              <w:jc w:val="center"/>
              <w:rPr>
                <w:rFonts w:asciiTheme="minorEastAsia" w:hAnsiTheme="minorEastAsia" w:eastAsiaTheme="minorEastAsia"/>
                <w:sz w:val="21"/>
              </w:rPr>
            </w:pPr>
            <w:r>
              <w:rPr>
                <w:rFonts w:asciiTheme="minorEastAsia" w:hAnsiTheme="minorEastAsia" w:eastAsiaTheme="minorEastAsia"/>
                <w:sz w:val="21"/>
              </w:rPr>
              <w:t>授权委托书</w:t>
            </w:r>
          </w:p>
        </w:tc>
        <w:tc>
          <w:tcPr>
            <w:tcW w:w="2055" w:type="dxa"/>
          </w:tcPr>
          <w:p>
            <w:pPr>
              <w:pStyle w:val="28"/>
              <w:rPr>
                <w:rFonts w:asciiTheme="minorEastAsia" w:hAnsiTheme="minorEastAsia" w:eastAsiaTheme="minorEastAsia"/>
                <w:sz w:val="20"/>
              </w:rPr>
            </w:pPr>
            <w:r>
              <w:rPr>
                <w:rFonts w:hint="eastAsia"/>
                <w:szCs w:val="21"/>
              </w:rPr>
              <w:t>授权代表为投标企业正式人员证明：须提供用工合同复印件及单位为其缴纳的社保证明材料（近一个月）</w:t>
            </w:r>
          </w:p>
        </w:tc>
        <w:tc>
          <w:tcPr>
            <w:tcW w:w="772" w:type="dxa"/>
            <w:tcBorders>
              <w:right w:val="nil"/>
            </w:tcBorders>
          </w:tcPr>
          <w:p>
            <w:pPr>
              <w:pStyle w:val="28"/>
              <w:spacing w:before="162"/>
              <w:ind w:right="204"/>
              <w:jc w:val="right"/>
              <w:rPr>
                <w:rFonts w:asciiTheme="minorEastAsia" w:hAnsiTheme="minorEastAsia" w:eastAsiaTheme="minorEastAsia"/>
                <w:sz w:val="21"/>
              </w:rPr>
            </w:pPr>
            <w:r>
              <w:rPr>
                <w:rFonts w:asciiTheme="minorEastAsia" w:hAnsiTheme="minorEastAsia" w:eastAsiaTheme="minorEastAsia"/>
                <w:sz w:val="21"/>
              </w:rPr>
              <w:t>第</w:t>
            </w:r>
          </w:p>
        </w:tc>
        <w:tc>
          <w:tcPr>
            <w:tcW w:w="770" w:type="dxa"/>
            <w:tcBorders>
              <w:left w:val="nil"/>
            </w:tcBorders>
          </w:tcPr>
          <w:p>
            <w:pPr>
              <w:pStyle w:val="28"/>
              <w:spacing w:before="162"/>
              <w:ind w:left="213"/>
              <w:rPr>
                <w:rFonts w:asciiTheme="minorEastAsia" w:hAnsiTheme="minorEastAsia" w:eastAsiaTheme="minorEastAsia"/>
                <w:sz w:val="21"/>
              </w:rPr>
            </w:pPr>
            <w:r>
              <w:rPr>
                <w:rFonts w:asciiTheme="minorEastAsia" w:hAnsiTheme="minorEastAsia" w:eastAsiaTheme="minorEastAsia"/>
                <w:sz w:val="21"/>
              </w:rPr>
              <w:t>页</w:t>
            </w:r>
          </w:p>
        </w:tc>
        <w:tc>
          <w:tcPr>
            <w:tcW w:w="2893" w:type="dxa"/>
            <w:gridSpan w:val="2"/>
          </w:tcPr>
          <w:p>
            <w:pPr>
              <w:pStyle w:val="28"/>
              <w:spacing w:before="27" w:line="242" w:lineRule="auto"/>
              <w:ind w:left="1234" w:right="175" w:hanging="1052"/>
              <w:rPr>
                <w:rFonts w:asciiTheme="minorEastAsia" w:hAnsiTheme="minorEastAsia" w:eastAsiaTheme="minorEastAsia"/>
                <w:sz w:val="21"/>
              </w:rPr>
            </w:pPr>
            <w:r>
              <w:rPr>
                <w:rFonts w:asciiTheme="minorEastAsia" w:hAnsiTheme="minorEastAsia" w:eastAsiaTheme="minorEastAsia"/>
                <w:sz w:val="21"/>
              </w:rPr>
              <w:t>法定代表人参加投标的可不提供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728" w:type="dxa"/>
            <w:vAlign w:val="center"/>
          </w:tcPr>
          <w:p>
            <w:pPr>
              <w:pStyle w:val="28"/>
              <w:spacing w:before="164"/>
              <w:ind w:left="12"/>
              <w:jc w:val="center"/>
              <w:rPr>
                <w:rFonts w:asciiTheme="minorEastAsia" w:hAnsiTheme="minorEastAsia" w:eastAsiaTheme="minorEastAsia"/>
                <w:sz w:val="21"/>
              </w:rPr>
            </w:pPr>
            <w:r>
              <w:rPr>
                <w:rFonts w:asciiTheme="minorEastAsia" w:hAnsiTheme="minorEastAsia" w:eastAsiaTheme="minorEastAsia"/>
                <w:sz w:val="21"/>
              </w:rPr>
              <w:t>4</w:t>
            </w:r>
          </w:p>
        </w:tc>
        <w:tc>
          <w:tcPr>
            <w:tcW w:w="2737" w:type="dxa"/>
          </w:tcPr>
          <w:p>
            <w:pPr>
              <w:pStyle w:val="28"/>
              <w:spacing w:before="164"/>
              <w:ind w:left="213" w:right="198"/>
              <w:jc w:val="center"/>
              <w:rPr>
                <w:rFonts w:asciiTheme="minorEastAsia" w:hAnsiTheme="minorEastAsia" w:eastAsiaTheme="minorEastAsia"/>
                <w:sz w:val="21"/>
              </w:rPr>
            </w:pPr>
            <w:r>
              <w:rPr>
                <w:rFonts w:asciiTheme="minorEastAsia" w:hAnsiTheme="minorEastAsia" w:eastAsiaTheme="minorEastAsia"/>
                <w:sz w:val="21"/>
              </w:rPr>
              <w:t>营业执照</w:t>
            </w:r>
          </w:p>
        </w:tc>
        <w:tc>
          <w:tcPr>
            <w:tcW w:w="2055" w:type="dxa"/>
          </w:tcPr>
          <w:p>
            <w:pPr>
              <w:pStyle w:val="28"/>
              <w:rPr>
                <w:rFonts w:asciiTheme="minorEastAsia" w:hAnsiTheme="minorEastAsia" w:eastAsiaTheme="minorEastAsia"/>
                <w:sz w:val="20"/>
              </w:rPr>
            </w:pPr>
          </w:p>
        </w:tc>
        <w:tc>
          <w:tcPr>
            <w:tcW w:w="772" w:type="dxa"/>
            <w:tcBorders>
              <w:right w:val="nil"/>
            </w:tcBorders>
          </w:tcPr>
          <w:p>
            <w:pPr>
              <w:pStyle w:val="28"/>
              <w:spacing w:before="164"/>
              <w:ind w:right="204"/>
              <w:jc w:val="right"/>
              <w:rPr>
                <w:rFonts w:asciiTheme="minorEastAsia" w:hAnsiTheme="minorEastAsia" w:eastAsiaTheme="minorEastAsia"/>
                <w:sz w:val="21"/>
              </w:rPr>
            </w:pPr>
            <w:r>
              <w:rPr>
                <w:rFonts w:asciiTheme="minorEastAsia" w:hAnsiTheme="minorEastAsia" w:eastAsiaTheme="minorEastAsia"/>
                <w:sz w:val="21"/>
              </w:rPr>
              <w:t>第</w:t>
            </w:r>
          </w:p>
        </w:tc>
        <w:tc>
          <w:tcPr>
            <w:tcW w:w="770" w:type="dxa"/>
            <w:tcBorders>
              <w:left w:val="nil"/>
            </w:tcBorders>
          </w:tcPr>
          <w:p>
            <w:pPr>
              <w:pStyle w:val="28"/>
              <w:spacing w:before="164"/>
              <w:ind w:left="213"/>
              <w:rPr>
                <w:rFonts w:asciiTheme="minorEastAsia" w:hAnsiTheme="minorEastAsia" w:eastAsiaTheme="minorEastAsia"/>
                <w:sz w:val="21"/>
              </w:rPr>
            </w:pPr>
            <w:r>
              <w:rPr>
                <w:rFonts w:asciiTheme="minorEastAsia" w:hAnsiTheme="minorEastAsia" w:eastAsiaTheme="minorEastAsia"/>
                <w:sz w:val="21"/>
              </w:rPr>
              <w:t>页</w:t>
            </w:r>
          </w:p>
        </w:tc>
        <w:tc>
          <w:tcPr>
            <w:tcW w:w="2893" w:type="dxa"/>
            <w:gridSpan w:val="2"/>
          </w:tcPr>
          <w:p>
            <w:pPr>
              <w:pStyle w:val="28"/>
              <w:rPr>
                <w:rFonts w:asciiTheme="minorEastAsia" w:hAnsiTheme="minorEastAsia" w:eastAsiaTheme="minorEastAsia"/>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728" w:type="dxa"/>
            <w:vAlign w:val="center"/>
          </w:tcPr>
          <w:p>
            <w:pPr>
              <w:pStyle w:val="28"/>
              <w:spacing w:before="27" w:line="242" w:lineRule="auto"/>
              <w:ind w:left="1234" w:right="175" w:hanging="1052"/>
              <w:jc w:val="center"/>
              <w:rPr>
                <w:rFonts w:asciiTheme="minorEastAsia" w:hAnsiTheme="minorEastAsia" w:eastAsiaTheme="minorEastAsia"/>
                <w:sz w:val="21"/>
              </w:rPr>
            </w:pPr>
            <w:r>
              <w:rPr>
                <w:rFonts w:hint="eastAsia" w:asciiTheme="minorEastAsia" w:hAnsiTheme="minorEastAsia" w:eastAsiaTheme="minorEastAsia"/>
                <w:sz w:val="21"/>
              </w:rPr>
              <w:t>5</w:t>
            </w:r>
          </w:p>
        </w:tc>
        <w:tc>
          <w:tcPr>
            <w:tcW w:w="2737" w:type="dxa"/>
          </w:tcPr>
          <w:p>
            <w:pPr>
              <w:pStyle w:val="28"/>
              <w:spacing w:before="27" w:line="242" w:lineRule="auto"/>
              <w:ind w:right="175"/>
              <w:rPr>
                <w:rFonts w:asciiTheme="minorEastAsia" w:hAnsiTheme="minorEastAsia" w:eastAsiaTheme="minorEastAsia"/>
                <w:sz w:val="21"/>
              </w:rPr>
            </w:pPr>
            <w:r>
              <w:rPr>
                <w:rFonts w:hint="eastAsia" w:asciiTheme="minorEastAsia" w:hAnsiTheme="minorEastAsia" w:eastAsiaTheme="minorEastAsia"/>
                <w:sz w:val="21"/>
              </w:rPr>
              <w:t>投标人符合《政府采购法》第二十二条规定条件的声明函</w:t>
            </w:r>
          </w:p>
        </w:tc>
        <w:tc>
          <w:tcPr>
            <w:tcW w:w="2055" w:type="dxa"/>
          </w:tcPr>
          <w:p>
            <w:pPr>
              <w:pStyle w:val="28"/>
              <w:spacing w:before="27" w:line="242" w:lineRule="auto"/>
              <w:ind w:left="1234" w:right="175" w:hanging="1052"/>
              <w:rPr>
                <w:rFonts w:asciiTheme="minorEastAsia" w:hAnsiTheme="minorEastAsia" w:eastAsiaTheme="minorEastAsia"/>
                <w:sz w:val="21"/>
              </w:rPr>
            </w:pPr>
          </w:p>
        </w:tc>
        <w:tc>
          <w:tcPr>
            <w:tcW w:w="772" w:type="dxa"/>
            <w:tcBorders>
              <w:right w:val="nil"/>
            </w:tcBorders>
          </w:tcPr>
          <w:p>
            <w:pPr>
              <w:pStyle w:val="28"/>
              <w:spacing w:before="27" w:line="242" w:lineRule="auto"/>
              <w:ind w:left="1234" w:right="175" w:hanging="1052"/>
              <w:rPr>
                <w:rFonts w:asciiTheme="minorEastAsia" w:hAnsiTheme="minorEastAsia" w:eastAsiaTheme="minorEastAsia"/>
                <w:sz w:val="21"/>
              </w:rPr>
            </w:pPr>
            <w:r>
              <w:rPr>
                <w:rFonts w:asciiTheme="minorEastAsia" w:hAnsiTheme="minorEastAsia" w:eastAsiaTheme="minorEastAsia"/>
                <w:sz w:val="21"/>
              </w:rPr>
              <w:t>第</w:t>
            </w:r>
          </w:p>
        </w:tc>
        <w:tc>
          <w:tcPr>
            <w:tcW w:w="770" w:type="dxa"/>
            <w:tcBorders>
              <w:left w:val="nil"/>
            </w:tcBorders>
          </w:tcPr>
          <w:p>
            <w:pPr>
              <w:pStyle w:val="28"/>
              <w:spacing w:before="27" w:line="242" w:lineRule="auto"/>
              <w:ind w:left="1234" w:right="175" w:hanging="1052"/>
              <w:rPr>
                <w:rFonts w:asciiTheme="minorEastAsia" w:hAnsiTheme="minorEastAsia" w:eastAsiaTheme="minorEastAsia"/>
                <w:sz w:val="21"/>
              </w:rPr>
            </w:pPr>
            <w:r>
              <w:rPr>
                <w:rFonts w:asciiTheme="minorEastAsia" w:hAnsiTheme="minorEastAsia" w:eastAsiaTheme="minorEastAsia"/>
                <w:sz w:val="21"/>
              </w:rPr>
              <w:t>页</w:t>
            </w:r>
          </w:p>
        </w:tc>
        <w:tc>
          <w:tcPr>
            <w:tcW w:w="2893" w:type="dxa"/>
            <w:gridSpan w:val="2"/>
          </w:tcPr>
          <w:p>
            <w:pPr>
              <w:pStyle w:val="28"/>
              <w:spacing w:before="27" w:line="242" w:lineRule="auto"/>
              <w:ind w:left="1234" w:right="175" w:hanging="1052"/>
              <w:rPr>
                <w:rFonts w:asciiTheme="minorEastAsia" w:hAnsiTheme="minorEastAsia" w:eastAsiaTheme="minorEastAsia"/>
                <w:sz w:val="21"/>
              </w:rPr>
            </w:pPr>
            <w:r>
              <w:rPr>
                <w:rFonts w:hint="eastAsia" w:asciiTheme="minorEastAsia" w:hAnsiTheme="minorEastAsia" w:eastAsiaTheme="minorEastAsia"/>
                <w:sz w:val="21"/>
              </w:rPr>
              <w:t>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728" w:type="dxa"/>
            <w:vAlign w:val="center"/>
          </w:tcPr>
          <w:p>
            <w:pPr>
              <w:pStyle w:val="28"/>
              <w:spacing w:before="27" w:line="242" w:lineRule="auto"/>
              <w:ind w:right="175"/>
              <w:rPr>
                <w:rFonts w:asciiTheme="minorEastAsia" w:hAnsiTheme="minorEastAsia" w:eastAsiaTheme="minorEastAsia"/>
                <w:sz w:val="21"/>
              </w:rPr>
            </w:pPr>
          </w:p>
        </w:tc>
        <w:tc>
          <w:tcPr>
            <w:tcW w:w="2737" w:type="dxa"/>
          </w:tcPr>
          <w:p>
            <w:pPr>
              <w:pStyle w:val="28"/>
              <w:spacing w:before="27" w:line="242" w:lineRule="auto"/>
              <w:ind w:right="175"/>
              <w:rPr>
                <w:rFonts w:asciiTheme="minorEastAsia" w:hAnsiTheme="minorEastAsia" w:eastAsiaTheme="minorEastAsia"/>
                <w:sz w:val="21"/>
              </w:rPr>
            </w:pPr>
            <w:r>
              <w:rPr>
                <w:rFonts w:hint="eastAsia" w:asciiTheme="minorEastAsia" w:hAnsiTheme="minorEastAsia" w:eastAsiaTheme="minorEastAsia"/>
                <w:sz w:val="21"/>
              </w:rPr>
              <w:t>招标公告资格要求提供相应的佐证材料（如专门面向中小企业采购则须提供中小企业声明函）</w:t>
            </w:r>
          </w:p>
        </w:tc>
        <w:tc>
          <w:tcPr>
            <w:tcW w:w="2055" w:type="dxa"/>
          </w:tcPr>
          <w:p>
            <w:pPr>
              <w:pStyle w:val="28"/>
              <w:spacing w:before="27" w:line="242" w:lineRule="auto"/>
              <w:ind w:left="1234" w:right="175" w:hanging="1052"/>
              <w:rPr>
                <w:rFonts w:asciiTheme="minorEastAsia" w:hAnsiTheme="minorEastAsia" w:eastAsiaTheme="minorEastAsia"/>
                <w:sz w:val="21"/>
              </w:rPr>
            </w:pPr>
          </w:p>
        </w:tc>
        <w:tc>
          <w:tcPr>
            <w:tcW w:w="772" w:type="dxa"/>
            <w:tcBorders>
              <w:right w:val="nil"/>
            </w:tcBorders>
          </w:tcPr>
          <w:p>
            <w:pPr>
              <w:pStyle w:val="28"/>
              <w:spacing w:before="27" w:line="242" w:lineRule="auto"/>
              <w:ind w:left="1234" w:right="175" w:hanging="1052"/>
              <w:rPr>
                <w:rFonts w:asciiTheme="minorEastAsia" w:hAnsiTheme="minorEastAsia" w:eastAsiaTheme="minorEastAsia"/>
                <w:sz w:val="21"/>
              </w:rPr>
            </w:pPr>
          </w:p>
        </w:tc>
        <w:tc>
          <w:tcPr>
            <w:tcW w:w="770" w:type="dxa"/>
            <w:tcBorders>
              <w:left w:val="nil"/>
            </w:tcBorders>
          </w:tcPr>
          <w:p>
            <w:pPr>
              <w:pStyle w:val="28"/>
              <w:spacing w:before="27" w:line="242" w:lineRule="auto"/>
              <w:ind w:left="1234" w:right="175" w:hanging="1052"/>
              <w:rPr>
                <w:rFonts w:asciiTheme="minorEastAsia" w:hAnsiTheme="minorEastAsia" w:eastAsiaTheme="minorEastAsia"/>
                <w:sz w:val="21"/>
              </w:rPr>
            </w:pPr>
          </w:p>
        </w:tc>
        <w:tc>
          <w:tcPr>
            <w:tcW w:w="2893" w:type="dxa"/>
            <w:gridSpan w:val="2"/>
          </w:tcPr>
          <w:p>
            <w:pPr>
              <w:pStyle w:val="28"/>
              <w:spacing w:before="27" w:line="242" w:lineRule="auto"/>
              <w:ind w:left="1234" w:right="175" w:hanging="1052"/>
              <w:rPr>
                <w:rFonts w:asciiTheme="minorEastAsia" w:hAnsiTheme="minorEastAsia" w:eastAsiaTheme="minorEastAsia"/>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728" w:type="dxa"/>
            <w:vAlign w:val="center"/>
          </w:tcPr>
          <w:p>
            <w:pPr>
              <w:pStyle w:val="28"/>
              <w:spacing w:before="27" w:line="242" w:lineRule="auto"/>
              <w:ind w:right="175"/>
              <w:rPr>
                <w:rFonts w:asciiTheme="minorEastAsia" w:hAnsiTheme="minorEastAsia" w:eastAsiaTheme="minorEastAsia"/>
                <w:sz w:val="21"/>
              </w:rPr>
            </w:pPr>
          </w:p>
        </w:tc>
        <w:tc>
          <w:tcPr>
            <w:tcW w:w="2737" w:type="dxa"/>
          </w:tcPr>
          <w:p>
            <w:pPr>
              <w:pStyle w:val="28"/>
              <w:spacing w:before="27" w:line="242" w:lineRule="auto"/>
              <w:ind w:right="175"/>
              <w:rPr>
                <w:rFonts w:asciiTheme="minorEastAsia" w:hAnsiTheme="minorEastAsia" w:eastAsiaTheme="minorEastAsia"/>
                <w:sz w:val="21"/>
              </w:rPr>
            </w:pPr>
            <w:r>
              <w:rPr>
                <w:rFonts w:hint="eastAsia" w:asciiTheme="minorEastAsia" w:hAnsiTheme="minorEastAsia" w:eastAsiaTheme="minorEastAsia"/>
                <w:sz w:val="21"/>
              </w:rPr>
              <w:t>未被“信用中国”网站列入失信被执行人、重大税收违法案件当事人名单、政府采购严重失信行为记录名单（提供网站截图）</w:t>
            </w:r>
          </w:p>
        </w:tc>
        <w:tc>
          <w:tcPr>
            <w:tcW w:w="2055" w:type="dxa"/>
          </w:tcPr>
          <w:p>
            <w:pPr>
              <w:pStyle w:val="28"/>
              <w:spacing w:before="27" w:line="242" w:lineRule="auto"/>
              <w:ind w:left="1234" w:right="175" w:hanging="1052"/>
              <w:rPr>
                <w:rFonts w:asciiTheme="minorEastAsia" w:hAnsiTheme="minorEastAsia" w:eastAsiaTheme="minorEastAsia"/>
                <w:sz w:val="21"/>
              </w:rPr>
            </w:pPr>
          </w:p>
        </w:tc>
        <w:tc>
          <w:tcPr>
            <w:tcW w:w="772" w:type="dxa"/>
            <w:tcBorders>
              <w:right w:val="nil"/>
            </w:tcBorders>
          </w:tcPr>
          <w:p>
            <w:pPr>
              <w:pStyle w:val="28"/>
              <w:spacing w:before="27" w:line="242" w:lineRule="auto"/>
              <w:ind w:left="1234" w:right="175" w:hanging="1052"/>
              <w:rPr>
                <w:rFonts w:asciiTheme="minorEastAsia" w:hAnsiTheme="minorEastAsia" w:eastAsiaTheme="minorEastAsia"/>
                <w:sz w:val="21"/>
              </w:rPr>
            </w:pPr>
          </w:p>
        </w:tc>
        <w:tc>
          <w:tcPr>
            <w:tcW w:w="770" w:type="dxa"/>
            <w:tcBorders>
              <w:left w:val="nil"/>
            </w:tcBorders>
          </w:tcPr>
          <w:p>
            <w:pPr>
              <w:pStyle w:val="28"/>
              <w:spacing w:before="27" w:line="242" w:lineRule="auto"/>
              <w:ind w:left="1234" w:right="175" w:hanging="1052"/>
              <w:rPr>
                <w:rFonts w:asciiTheme="minorEastAsia" w:hAnsiTheme="minorEastAsia" w:eastAsiaTheme="minorEastAsia"/>
                <w:sz w:val="21"/>
              </w:rPr>
            </w:pPr>
          </w:p>
        </w:tc>
        <w:tc>
          <w:tcPr>
            <w:tcW w:w="2893" w:type="dxa"/>
            <w:gridSpan w:val="2"/>
          </w:tcPr>
          <w:p>
            <w:pPr>
              <w:pStyle w:val="28"/>
              <w:spacing w:before="27" w:line="242" w:lineRule="auto"/>
              <w:ind w:left="1234" w:right="175" w:hanging="1052"/>
              <w:rPr>
                <w:rFonts w:asciiTheme="minorEastAsia" w:hAnsiTheme="minorEastAsia" w:eastAsiaTheme="minorEastAsia"/>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728" w:type="dxa"/>
            <w:vAlign w:val="center"/>
          </w:tcPr>
          <w:p>
            <w:pPr>
              <w:pStyle w:val="28"/>
              <w:spacing w:before="27" w:line="242" w:lineRule="auto"/>
              <w:ind w:left="1234" w:right="175" w:hanging="1052"/>
              <w:jc w:val="center"/>
              <w:rPr>
                <w:rFonts w:asciiTheme="minorEastAsia" w:hAnsiTheme="minorEastAsia" w:eastAsiaTheme="minorEastAsia"/>
                <w:sz w:val="21"/>
              </w:rPr>
            </w:pPr>
            <w:r>
              <w:rPr>
                <w:rFonts w:hint="eastAsia" w:asciiTheme="minorEastAsia" w:hAnsiTheme="minorEastAsia" w:eastAsiaTheme="minorEastAsia"/>
                <w:sz w:val="21"/>
              </w:rPr>
              <w:t>6</w:t>
            </w:r>
          </w:p>
        </w:tc>
        <w:tc>
          <w:tcPr>
            <w:tcW w:w="2737" w:type="dxa"/>
          </w:tcPr>
          <w:p>
            <w:pPr>
              <w:tabs>
                <w:tab w:val="left" w:pos="3375"/>
              </w:tabs>
              <w:adjustRightInd w:val="0"/>
              <w:snapToGrid w:val="0"/>
              <w:rPr>
                <w:kern w:val="2"/>
                <w:sz w:val="21"/>
                <w:szCs w:val="21"/>
                <w:lang w:val="en-US" w:bidi="ar-SA"/>
              </w:rPr>
            </w:pPr>
            <w:r>
              <w:rPr>
                <w:rFonts w:hint="eastAsia"/>
                <w:kern w:val="2"/>
                <w:sz w:val="21"/>
                <w:szCs w:val="21"/>
                <w:lang w:val="en-US" w:bidi="ar-SA"/>
              </w:rPr>
              <w:t>本项目的特定资格要求</w:t>
            </w:r>
          </w:p>
          <w:p>
            <w:pPr>
              <w:pStyle w:val="28"/>
              <w:spacing w:before="27" w:line="242" w:lineRule="auto"/>
              <w:ind w:left="182" w:right="175"/>
              <w:rPr>
                <w:rFonts w:asciiTheme="minorEastAsia" w:hAnsiTheme="minorEastAsia" w:eastAsiaTheme="minorEastAsia"/>
                <w:sz w:val="21"/>
              </w:rPr>
            </w:pPr>
            <w:r>
              <w:rPr>
                <w:rFonts w:hint="eastAsia"/>
                <w:kern w:val="2"/>
                <w:sz w:val="21"/>
                <w:szCs w:val="21"/>
                <w:lang w:val="en-US" w:bidi="ar-SA"/>
              </w:rPr>
              <w:t>证明文件</w:t>
            </w:r>
          </w:p>
        </w:tc>
        <w:tc>
          <w:tcPr>
            <w:tcW w:w="2055" w:type="dxa"/>
          </w:tcPr>
          <w:p>
            <w:pPr>
              <w:pStyle w:val="28"/>
              <w:spacing w:before="27" w:line="242" w:lineRule="auto"/>
              <w:ind w:left="1234" w:right="175" w:hanging="1052"/>
              <w:rPr>
                <w:rFonts w:asciiTheme="minorEastAsia" w:hAnsiTheme="minorEastAsia" w:eastAsiaTheme="minorEastAsia"/>
                <w:sz w:val="21"/>
              </w:rPr>
            </w:pPr>
          </w:p>
        </w:tc>
        <w:tc>
          <w:tcPr>
            <w:tcW w:w="772" w:type="dxa"/>
            <w:tcBorders>
              <w:right w:val="nil"/>
            </w:tcBorders>
          </w:tcPr>
          <w:p>
            <w:pPr>
              <w:pStyle w:val="28"/>
              <w:spacing w:before="27" w:line="242" w:lineRule="auto"/>
              <w:ind w:left="1234" w:right="175" w:hanging="1052"/>
              <w:rPr>
                <w:rFonts w:asciiTheme="minorEastAsia" w:hAnsiTheme="minorEastAsia" w:eastAsiaTheme="minorEastAsia"/>
                <w:sz w:val="21"/>
              </w:rPr>
            </w:pPr>
            <w:r>
              <w:rPr>
                <w:rFonts w:asciiTheme="minorEastAsia" w:hAnsiTheme="minorEastAsia" w:eastAsiaTheme="minorEastAsia"/>
                <w:sz w:val="21"/>
              </w:rPr>
              <w:t>第</w:t>
            </w:r>
          </w:p>
        </w:tc>
        <w:tc>
          <w:tcPr>
            <w:tcW w:w="770" w:type="dxa"/>
            <w:tcBorders>
              <w:left w:val="nil"/>
            </w:tcBorders>
          </w:tcPr>
          <w:p>
            <w:pPr>
              <w:pStyle w:val="28"/>
              <w:spacing w:before="27" w:line="242" w:lineRule="auto"/>
              <w:ind w:left="1234" w:right="175" w:hanging="1052"/>
              <w:rPr>
                <w:rFonts w:asciiTheme="minorEastAsia" w:hAnsiTheme="minorEastAsia" w:eastAsiaTheme="minorEastAsia"/>
                <w:sz w:val="21"/>
              </w:rPr>
            </w:pPr>
            <w:r>
              <w:rPr>
                <w:rFonts w:asciiTheme="minorEastAsia" w:hAnsiTheme="minorEastAsia" w:eastAsiaTheme="minorEastAsia"/>
                <w:sz w:val="21"/>
              </w:rPr>
              <w:t>页</w:t>
            </w:r>
          </w:p>
        </w:tc>
        <w:tc>
          <w:tcPr>
            <w:tcW w:w="2893" w:type="dxa"/>
            <w:gridSpan w:val="2"/>
          </w:tcPr>
          <w:p>
            <w:pPr>
              <w:pStyle w:val="28"/>
              <w:spacing w:before="27" w:line="242" w:lineRule="auto"/>
              <w:ind w:left="1234" w:right="175" w:hanging="1052"/>
              <w:rPr>
                <w:rFonts w:asciiTheme="minorEastAsia" w:hAnsiTheme="minorEastAsia" w:eastAsiaTheme="minorEastAsia"/>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728" w:type="dxa"/>
            <w:vAlign w:val="center"/>
          </w:tcPr>
          <w:p>
            <w:pPr>
              <w:pStyle w:val="28"/>
              <w:spacing w:before="164"/>
              <w:ind w:left="12"/>
              <w:jc w:val="center"/>
              <w:rPr>
                <w:rFonts w:asciiTheme="minorEastAsia" w:hAnsiTheme="minorEastAsia" w:eastAsiaTheme="minorEastAsia"/>
                <w:sz w:val="21"/>
              </w:rPr>
            </w:pPr>
            <w:r>
              <w:rPr>
                <w:rFonts w:hint="eastAsia" w:asciiTheme="minorEastAsia" w:hAnsiTheme="minorEastAsia" w:eastAsiaTheme="minorEastAsia"/>
                <w:sz w:val="21"/>
              </w:rPr>
              <w:t>7</w:t>
            </w:r>
          </w:p>
        </w:tc>
        <w:tc>
          <w:tcPr>
            <w:tcW w:w="2737" w:type="dxa"/>
            <w:vAlign w:val="center"/>
          </w:tcPr>
          <w:p>
            <w:pPr>
              <w:tabs>
                <w:tab w:val="left" w:pos="3375"/>
              </w:tabs>
              <w:adjustRightInd w:val="0"/>
              <w:snapToGrid w:val="0"/>
              <w:rPr>
                <w:rFonts w:asciiTheme="minorEastAsia" w:hAnsiTheme="minorEastAsia" w:eastAsiaTheme="minorEastAsia"/>
                <w:sz w:val="21"/>
              </w:rPr>
            </w:pPr>
            <w:r>
              <w:rPr>
                <w:rFonts w:hint="eastAsia"/>
                <w:kern w:val="2"/>
                <w:sz w:val="21"/>
                <w:szCs w:val="21"/>
                <w:lang w:val="en-US" w:bidi="ar-SA"/>
              </w:rPr>
              <w:t>商务技术</w:t>
            </w:r>
          </w:p>
        </w:tc>
        <w:tc>
          <w:tcPr>
            <w:tcW w:w="2055" w:type="dxa"/>
          </w:tcPr>
          <w:p>
            <w:pPr>
              <w:pStyle w:val="28"/>
              <w:rPr>
                <w:rFonts w:asciiTheme="minorEastAsia" w:hAnsiTheme="minorEastAsia" w:eastAsiaTheme="minorEastAsia"/>
                <w:sz w:val="20"/>
              </w:rPr>
            </w:pPr>
          </w:p>
        </w:tc>
        <w:tc>
          <w:tcPr>
            <w:tcW w:w="772" w:type="dxa"/>
            <w:tcBorders>
              <w:right w:val="nil"/>
            </w:tcBorders>
          </w:tcPr>
          <w:p>
            <w:pPr>
              <w:pStyle w:val="28"/>
              <w:spacing w:before="164"/>
              <w:ind w:right="204"/>
              <w:jc w:val="right"/>
              <w:rPr>
                <w:rFonts w:asciiTheme="minorEastAsia" w:hAnsiTheme="minorEastAsia" w:eastAsiaTheme="minorEastAsia"/>
                <w:sz w:val="21"/>
              </w:rPr>
            </w:pPr>
            <w:r>
              <w:rPr>
                <w:rFonts w:asciiTheme="minorEastAsia" w:hAnsiTheme="minorEastAsia" w:eastAsiaTheme="minorEastAsia"/>
                <w:sz w:val="21"/>
              </w:rPr>
              <w:t>第</w:t>
            </w:r>
          </w:p>
        </w:tc>
        <w:tc>
          <w:tcPr>
            <w:tcW w:w="770" w:type="dxa"/>
            <w:tcBorders>
              <w:left w:val="nil"/>
            </w:tcBorders>
          </w:tcPr>
          <w:p>
            <w:pPr>
              <w:pStyle w:val="28"/>
              <w:spacing w:before="164"/>
              <w:ind w:left="213"/>
              <w:rPr>
                <w:rFonts w:asciiTheme="minorEastAsia" w:hAnsiTheme="minorEastAsia" w:eastAsiaTheme="minorEastAsia"/>
                <w:sz w:val="21"/>
              </w:rPr>
            </w:pPr>
            <w:r>
              <w:rPr>
                <w:rFonts w:asciiTheme="minorEastAsia" w:hAnsiTheme="minorEastAsia" w:eastAsiaTheme="minorEastAsia"/>
                <w:sz w:val="21"/>
              </w:rPr>
              <w:t>页</w:t>
            </w:r>
          </w:p>
        </w:tc>
        <w:tc>
          <w:tcPr>
            <w:tcW w:w="2893" w:type="dxa"/>
            <w:gridSpan w:val="2"/>
          </w:tcPr>
          <w:p>
            <w:pPr>
              <w:pStyle w:val="28"/>
              <w:rPr>
                <w:rFonts w:asciiTheme="minorEastAsia" w:hAnsiTheme="minorEastAsia" w:eastAsiaTheme="minorEastAsia"/>
                <w:sz w:val="20"/>
              </w:rPr>
            </w:pPr>
            <w:r>
              <w:rPr>
                <w:rFonts w:hint="eastAsia"/>
              </w:rPr>
              <w:t>按照评分标准提供相应的材料及方案，文件目录前提供评分索引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728" w:type="dxa"/>
            <w:vAlign w:val="center"/>
          </w:tcPr>
          <w:p>
            <w:pPr>
              <w:pStyle w:val="28"/>
              <w:spacing w:before="164"/>
              <w:ind w:left="12"/>
              <w:jc w:val="center"/>
              <w:rPr>
                <w:rFonts w:asciiTheme="minorEastAsia" w:hAnsiTheme="minorEastAsia" w:eastAsiaTheme="minorEastAsia"/>
                <w:sz w:val="21"/>
                <w:lang w:val="en-US"/>
              </w:rPr>
            </w:pPr>
            <w:r>
              <w:rPr>
                <w:rFonts w:hint="eastAsia" w:asciiTheme="minorEastAsia" w:hAnsiTheme="minorEastAsia" w:eastAsiaTheme="minorEastAsia"/>
                <w:sz w:val="21"/>
                <w:lang w:val="en-US"/>
              </w:rPr>
              <w:t>8</w:t>
            </w:r>
          </w:p>
        </w:tc>
        <w:tc>
          <w:tcPr>
            <w:tcW w:w="2737" w:type="dxa"/>
          </w:tcPr>
          <w:p>
            <w:pPr>
              <w:pStyle w:val="28"/>
              <w:spacing w:before="164"/>
              <w:ind w:right="198"/>
              <w:rPr>
                <w:rFonts w:asciiTheme="minorEastAsia" w:hAnsiTheme="minorEastAsia" w:eastAsiaTheme="minorEastAsia"/>
                <w:sz w:val="21"/>
              </w:rPr>
            </w:pPr>
            <w:r>
              <w:rPr>
                <w:rFonts w:hint="eastAsia"/>
              </w:rPr>
              <w:t>投标人认为需要提交的其他资料</w:t>
            </w:r>
          </w:p>
        </w:tc>
        <w:tc>
          <w:tcPr>
            <w:tcW w:w="2055" w:type="dxa"/>
          </w:tcPr>
          <w:p>
            <w:pPr>
              <w:pStyle w:val="28"/>
              <w:rPr>
                <w:rFonts w:asciiTheme="minorEastAsia" w:hAnsiTheme="minorEastAsia" w:eastAsiaTheme="minorEastAsia"/>
                <w:sz w:val="20"/>
              </w:rPr>
            </w:pPr>
          </w:p>
        </w:tc>
        <w:tc>
          <w:tcPr>
            <w:tcW w:w="772" w:type="dxa"/>
            <w:tcBorders>
              <w:right w:val="nil"/>
            </w:tcBorders>
          </w:tcPr>
          <w:p>
            <w:pPr>
              <w:pStyle w:val="28"/>
              <w:spacing w:before="164"/>
              <w:ind w:right="204"/>
              <w:jc w:val="right"/>
              <w:rPr>
                <w:rFonts w:asciiTheme="minorEastAsia" w:hAnsiTheme="minorEastAsia" w:eastAsiaTheme="minorEastAsia"/>
                <w:sz w:val="21"/>
              </w:rPr>
            </w:pPr>
            <w:r>
              <w:rPr>
                <w:rFonts w:asciiTheme="minorEastAsia" w:hAnsiTheme="minorEastAsia" w:eastAsiaTheme="minorEastAsia"/>
                <w:sz w:val="21"/>
              </w:rPr>
              <w:t>第</w:t>
            </w:r>
          </w:p>
        </w:tc>
        <w:tc>
          <w:tcPr>
            <w:tcW w:w="770" w:type="dxa"/>
            <w:tcBorders>
              <w:left w:val="nil"/>
            </w:tcBorders>
          </w:tcPr>
          <w:p>
            <w:pPr>
              <w:pStyle w:val="28"/>
              <w:spacing w:before="164"/>
              <w:ind w:left="213"/>
              <w:rPr>
                <w:rFonts w:asciiTheme="minorEastAsia" w:hAnsiTheme="minorEastAsia" w:eastAsiaTheme="minorEastAsia"/>
                <w:sz w:val="21"/>
              </w:rPr>
            </w:pPr>
            <w:r>
              <w:rPr>
                <w:rFonts w:asciiTheme="minorEastAsia" w:hAnsiTheme="minorEastAsia" w:eastAsiaTheme="minorEastAsia"/>
                <w:sz w:val="21"/>
              </w:rPr>
              <w:t>页</w:t>
            </w:r>
          </w:p>
        </w:tc>
        <w:tc>
          <w:tcPr>
            <w:tcW w:w="2893" w:type="dxa"/>
            <w:gridSpan w:val="2"/>
          </w:tcPr>
          <w:p>
            <w:pPr>
              <w:pStyle w:val="28"/>
              <w:jc w:val="center"/>
              <w:rPr>
                <w:rFonts w:asciiTheme="minorEastAsia" w:hAnsiTheme="minorEastAsia" w:eastAsiaTheme="minorEastAsia"/>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7062" w:type="dxa"/>
            <w:gridSpan w:val="5"/>
          </w:tcPr>
          <w:p>
            <w:pPr>
              <w:pStyle w:val="28"/>
              <w:spacing w:before="168"/>
              <w:ind w:firstLine="3012" w:firstLineChars="1250"/>
              <w:rPr>
                <w:rFonts w:asciiTheme="minorEastAsia" w:hAnsiTheme="minorEastAsia" w:eastAsiaTheme="minorEastAsia"/>
                <w:b/>
                <w:sz w:val="24"/>
                <w:lang w:val="en-US"/>
              </w:rPr>
            </w:pPr>
            <w:r>
              <w:rPr>
                <w:rFonts w:hint="eastAsia" w:asciiTheme="minorEastAsia" w:hAnsiTheme="minorEastAsia" w:eastAsiaTheme="minorEastAsia"/>
                <w:b/>
                <w:sz w:val="24"/>
                <w:lang w:val="en-US"/>
              </w:rPr>
              <w:t>报价</w:t>
            </w:r>
            <w:r>
              <w:rPr>
                <w:rFonts w:hint="eastAsia" w:asciiTheme="minorEastAsia" w:hAnsiTheme="minorEastAsia" w:eastAsiaTheme="minorEastAsia"/>
                <w:b/>
                <w:sz w:val="24"/>
              </w:rPr>
              <w:t>一览表</w:t>
            </w:r>
          </w:p>
        </w:tc>
        <w:tc>
          <w:tcPr>
            <w:tcW w:w="2893" w:type="dxa"/>
            <w:gridSpan w:val="2"/>
          </w:tcPr>
          <w:p>
            <w:pPr>
              <w:pStyle w:val="28"/>
              <w:spacing w:before="168"/>
              <w:ind w:left="1062" w:right="1057"/>
              <w:jc w:val="center"/>
              <w:rPr>
                <w:rFonts w:asciiTheme="minorEastAsia" w:hAnsiTheme="minorEastAsia" w:eastAsiaTheme="minorEastAsia"/>
                <w:b/>
                <w:sz w:val="24"/>
              </w:rPr>
            </w:pPr>
            <w:r>
              <w:rPr>
                <w:rFonts w:asciiTheme="minorEastAsia" w:hAnsiTheme="minorEastAsia" w:eastAsiaTheme="minorEastAsia"/>
                <w:b/>
                <w:sz w:val="24"/>
              </w:rPr>
              <w:t>见附件</w:t>
            </w:r>
          </w:p>
        </w:tc>
      </w:tr>
    </w:tbl>
    <w:p>
      <w:pPr>
        <w:pStyle w:val="11"/>
        <w:spacing w:before="8"/>
        <w:rPr>
          <w:rFonts w:asciiTheme="minorEastAsia" w:hAnsiTheme="minorEastAsia" w:eastAsiaTheme="minorEastAsia"/>
          <w:b/>
          <w:sz w:val="37"/>
        </w:rPr>
      </w:pPr>
    </w:p>
    <w:p>
      <w:pPr>
        <w:pStyle w:val="6"/>
        <w:tabs>
          <w:tab w:val="left" w:pos="4956"/>
          <w:tab w:val="left" w:pos="7335"/>
          <w:tab w:val="left" w:pos="8178"/>
        </w:tabs>
        <w:spacing w:before="1"/>
        <w:ind w:left="6637" w:right="1508" w:hanging="5745"/>
        <w:rPr>
          <w:rFonts w:asciiTheme="minorEastAsia" w:hAnsiTheme="minorEastAsia" w:eastAsiaTheme="minorEastAsia"/>
        </w:rPr>
      </w:pPr>
      <w:r>
        <w:rPr>
          <w:rFonts w:hint="eastAsia" w:asciiTheme="minorEastAsia" w:hAnsiTheme="minorEastAsia" w:eastAsiaTheme="minorEastAsia"/>
        </w:rPr>
        <w:t>单位名</w:t>
      </w:r>
      <w:r>
        <w:rPr>
          <w:rFonts w:hint="eastAsia" w:asciiTheme="minorEastAsia" w:hAnsiTheme="minorEastAsia" w:eastAsiaTheme="minorEastAsia"/>
          <w:spacing w:val="-3"/>
        </w:rPr>
        <w:t>称</w:t>
      </w:r>
      <w:r>
        <w:rPr>
          <w:rFonts w:hint="eastAsia" w:asciiTheme="minorEastAsia" w:hAnsiTheme="minorEastAsia" w:eastAsiaTheme="minorEastAsia"/>
        </w:rPr>
        <w:t>（公</w:t>
      </w:r>
      <w:r>
        <w:rPr>
          <w:rFonts w:hint="eastAsia" w:asciiTheme="minorEastAsia" w:hAnsiTheme="minorEastAsia" w:eastAsiaTheme="minorEastAsia"/>
          <w:spacing w:val="-3"/>
        </w:rPr>
        <w:t>章</w:t>
      </w:r>
      <w:r>
        <w:rPr>
          <w:rFonts w:hint="eastAsia" w:asciiTheme="minorEastAsia" w:hAnsiTheme="minorEastAsia" w:eastAsiaTheme="minorEastAsia"/>
        </w:rPr>
        <w:t>）</w:t>
      </w:r>
      <w:r>
        <w:rPr>
          <w:rFonts w:hint="eastAsia" w:asciiTheme="minorEastAsia" w:hAnsiTheme="minorEastAsia" w:eastAsiaTheme="minorEastAsia"/>
        </w:rPr>
        <w:tab/>
      </w:r>
      <w:r>
        <w:rPr>
          <w:rFonts w:hint="eastAsia" w:asciiTheme="minorEastAsia" w:hAnsiTheme="minorEastAsia" w:eastAsiaTheme="minorEastAsia"/>
          <w:spacing w:val="-3"/>
        </w:rPr>
        <w:t>法定</w:t>
      </w:r>
      <w:r>
        <w:rPr>
          <w:rFonts w:hint="eastAsia" w:asciiTheme="minorEastAsia" w:hAnsiTheme="minorEastAsia" w:eastAsiaTheme="minorEastAsia"/>
        </w:rPr>
        <w:t>代表人</w:t>
      </w:r>
      <w:r>
        <w:rPr>
          <w:rFonts w:hint="eastAsia" w:asciiTheme="minorEastAsia" w:hAnsiTheme="minorEastAsia" w:eastAsiaTheme="minorEastAsia"/>
          <w:spacing w:val="-3"/>
        </w:rPr>
        <w:t>或</w:t>
      </w:r>
      <w:r>
        <w:rPr>
          <w:rFonts w:hint="eastAsia" w:asciiTheme="minorEastAsia" w:hAnsiTheme="minorEastAsia" w:eastAsiaTheme="minorEastAsia"/>
        </w:rPr>
        <w:t>被授</w:t>
      </w:r>
      <w:r>
        <w:rPr>
          <w:rFonts w:hint="eastAsia" w:asciiTheme="minorEastAsia" w:hAnsiTheme="minorEastAsia" w:eastAsiaTheme="minorEastAsia"/>
          <w:spacing w:val="-3"/>
        </w:rPr>
        <w:t>权人</w:t>
      </w:r>
      <w:r>
        <w:rPr>
          <w:rFonts w:hint="eastAsia" w:asciiTheme="minorEastAsia" w:hAnsiTheme="minorEastAsia" w:eastAsiaTheme="minorEastAsia"/>
        </w:rPr>
        <w:t>（签字</w:t>
      </w:r>
      <w:r>
        <w:rPr>
          <w:rFonts w:hint="eastAsia" w:asciiTheme="minorEastAsia" w:hAnsiTheme="minorEastAsia" w:eastAsiaTheme="minorEastAsia"/>
          <w:spacing w:val="-14"/>
        </w:rPr>
        <w:t xml:space="preserve">） </w:t>
      </w:r>
      <w:r>
        <w:rPr>
          <w:rFonts w:hint="eastAsia" w:asciiTheme="minorEastAsia" w:hAnsiTheme="minorEastAsia" w:eastAsiaTheme="minorEastAsia"/>
        </w:rPr>
        <w:t>年</w:t>
      </w:r>
      <w:r>
        <w:rPr>
          <w:rFonts w:hint="eastAsia" w:asciiTheme="minorEastAsia" w:hAnsiTheme="minorEastAsia" w:eastAsiaTheme="minorEastAsia"/>
        </w:rPr>
        <w:tab/>
      </w:r>
      <w:r>
        <w:rPr>
          <w:rFonts w:hint="eastAsia" w:asciiTheme="minorEastAsia" w:hAnsiTheme="minorEastAsia" w:eastAsiaTheme="minorEastAsia"/>
        </w:rPr>
        <w:t>月</w:t>
      </w:r>
      <w:r>
        <w:rPr>
          <w:rFonts w:hint="eastAsia" w:asciiTheme="minorEastAsia" w:hAnsiTheme="minorEastAsia" w:eastAsiaTheme="minorEastAsia"/>
        </w:rPr>
        <w:tab/>
      </w:r>
      <w:r>
        <w:rPr>
          <w:rFonts w:hint="eastAsia" w:asciiTheme="minorEastAsia" w:hAnsiTheme="minorEastAsia" w:eastAsiaTheme="minorEastAsia"/>
        </w:rPr>
        <w:t>日</w:t>
      </w:r>
    </w:p>
    <w:p>
      <w:pPr>
        <w:pStyle w:val="27"/>
        <w:numPr>
          <w:ilvl w:val="0"/>
          <w:numId w:val="5"/>
        </w:numPr>
        <w:tabs>
          <w:tab w:val="left" w:pos="1003"/>
        </w:tabs>
        <w:spacing w:line="241" w:lineRule="exact"/>
        <w:ind w:hanging="531"/>
        <w:rPr>
          <w:rFonts w:asciiTheme="minorEastAsia" w:hAnsiTheme="minorEastAsia" w:eastAsiaTheme="minorEastAsia"/>
          <w:sz w:val="21"/>
        </w:rPr>
      </w:pPr>
      <w:r>
        <w:rPr>
          <w:rFonts w:asciiTheme="minorEastAsia" w:hAnsiTheme="minorEastAsia" w:eastAsiaTheme="minorEastAsia"/>
          <w:spacing w:val="-6"/>
          <w:sz w:val="21"/>
        </w:rPr>
        <w:t xml:space="preserve">投标资料目录装订于投标文件内的第 </w:t>
      </w:r>
      <w:r>
        <w:rPr>
          <w:rFonts w:asciiTheme="minorEastAsia" w:hAnsiTheme="minorEastAsia" w:eastAsiaTheme="minorEastAsia"/>
          <w:sz w:val="21"/>
        </w:rPr>
        <w:t>1</w:t>
      </w:r>
      <w:r>
        <w:rPr>
          <w:rFonts w:asciiTheme="minorEastAsia" w:hAnsiTheme="minorEastAsia" w:eastAsiaTheme="minorEastAsia"/>
          <w:spacing w:val="-20"/>
          <w:sz w:val="21"/>
        </w:rPr>
        <w:t xml:space="preserve"> 页。</w:t>
      </w:r>
    </w:p>
    <w:p>
      <w:pPr>
        <w:pStyle w:val="27"/>
        <w:numPr>
          <w:ilvl w:val="0"/>
          <w:numId w:val="5"/>
        </w:numPr>
        <w:tabs>
          <w:tab w:val="left" w:pos="1003"/>
        </w:tabs>
        <w:spacing w:before="179"/>
        <w:ind w:hanging="531"/>
        <w:rPr>
          <w:rFonts w:asciiTheme="minorEastAsia" w:hAnsiTheme="minorEastAsia" w:eastAsiaTheme="minorEastAsia"/>
          <w:sz w:val="21"/>
        </w:rPr>
      </w:pPr>
      <w:r>
        <w:rPr>
          <w:rFonts w:asciiTheme="minorEastAsia" w:hAnsiTheme="minorEastAsia" w:eastAsiaTheme="minorEastAsia"/>
          <w:spacing w:val="-3"/>
          <w:sz w:val="21"/>
        </w:rPr>
        <w:t>《授权书》及相关《承诺函》、《报价</w:t>
      </w:r>
      <w:r>
        <w:rPr>
          <w:rFonts w:hint="eastAsia" w:asciiTheme="minorEastAsia" w:hAnsiTheme="minorEastAsia" w:eastAsiaTheme="minorEastAsia"/>
          <w:spacing w:val="-3"/>
          <w:sz w:val="21"/>
          <w:lang w:val="en-US"/>
        </w:rPr>
        <w:t>一览表</w:t>
      </w:r>
      <w:r>
        <w:rPr>
          <w:rFonts w:asciiTheme="minorEastAsia" w:hAnsiTheme="minorEastAsia" w:eastAsiaTheme="minorEastAsia"/>
          <w:spacing w:val="-3"/>
          <w:sz w:val="21"/>
        </w:rPr>
        <w:t>》等格式详见附件。</w:t>
      </w:r>
    </w:p>
    <w:p>
      <w:pPr>
        <w:rPr>
          <w:rFonts w:asciiTheme="minorEastAsia" w:hAnsiTheme="minorEastAsia" w:eastAsiaTheme="minorEastAsia"/>
          <w:sz w:val="21"/>
        </w:rPr>
        <w:sectPr>
          <w:footerReference r:id="rId4" w:type="default"/>
          <w:pgSz w:w="11910" w:h="16840"/>
          <w:pgMar w:top="1180" w:right="860" w:bottom="1120" w:left="660" w:header="0" w:footer="937" w:gutter="0"/>
          <w:cols w:space="720" w:num="1"/>
        </w:sectPr>
      </w:pPr>
    </w:p>
    <w:p>
      <w:pPr>
        <w:pStyle w:val="29"/>
        <w:widowControl/>
        <w:snapToGrid w:val="0"/>
        <w:spacing w:line="300" w:lineRule="auto"/>
        <w:ind w:firstLine="0" w:firstLineChars="0"/>
        <w:jc w:val="center"/>
        <w:rPr>
          <w:rFonts w:asciiTheme="minorEastAsia" w:hAnsiTheme="minorEastAsia" w:eastAsiaTheme="minorEastAsia"/>
          <w:b/>
          <w:sz w:val="36"/>
          <w:szCs w:val="36"/>
        </w:rPr>
      </w:pPr>
      <w:r>
        <w:rPr>
          <w:rFonts w:asciiTheme="minorEastAsia" w:hAnsiTheme="minorEastAsia" w:eastAsiaTheme="minorEastAsia"/>
          <w:b/>
          <w:sz w:val="36"/>
          <w:szCs w:val="36"/>
        </w:rPr>
        <w:t>关于资格的声明函</w:t>
      </w:r>
    </w:p>
    <w:p>
      <w:pPr>
        <w:spacing w:line="360" w:lineRule="auto"/>
        <w:jc w:val="center"/>
        <w:rPr>
          <w:rFonts w:asciiTheme="minorEastAsia" w:hAnsiTheme="minorEastAsia" w:eastAsiaTheme="minorEastAsia"/>
          <w:b/>
          <w:szCs w:val="21"/>
        </w:rPr>
      </w:pPr>
    </w:p>
    <w:p>
      <w:pPr>
        <w:pStyle w:val="20"/>
        <w:snapToGrid w:val="0"/>
        <w:spacing w:line="300" w:lineRule="auto"/>
        <w:rPr>
          <w:rFonts w:cs="仿宋_GB2312" w:asciiTheme="minorEastAsia" w:hAnsiTheme="minorEastAsia" w:eastAsiaTheme="minorEastAsia"/>
          <w:bCs/>
          <w:sz w:val="28"/>
          <w:szCs w:val="28"/>
        </w:rPr>
      </w:pPr>
      <w:r>
        <w:rPr>
          <w:rFonts w:hint="eastAsia" w:asciiTheme="minorEastAsia" w:hAnsiTheme="minorEastAsia" w:eastAsiaTheme="minorEastAsia"/>
          <w:sz w:val="28"/>
          <w:szCs w:val="28"/>
          <w:u w:val="single"/>
        </w:rPr>
        <w:t>南通市海门区区域社会治理现代化指挥中心</w:t>
      </w:r>
      <w:r>
        <w:rPr>
          <w:rFonts w:hint="eastAsia" w:cs="仿宋_GB2312" w:asciiTheme="minorEastAsia" w:hAnsiTheme="minorEastAsia" w:eastAsiaTheme="minorEastAsia"/>
          <w:bCs/>
          <w:sz w:val="28"/>
          <w:szCs w:val="28"/>
        </w:rPr>
        <w:t>：</w:t>
      </w:r>
    </w:p>
    <w:p>
      <w:pPr>
        <w:pStyle w:val="20"/>
        <w:snapToGrid w:val="0"/>
        <w:spacing w:line="300"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我公司认真对照招标公告，符合贵方提出的资格要求，自愿报名参加投标，并保证提供的资料文件是准确的和真实的。提供虚假材料的愿意承担相应的法律责任。</w:t>
      </w:r>
    </w:p>
    <w:p>
      <w:pPr>
        <w:pStyle w:val="20"/>
        <w:widowControl w:val="0"/>
        <w:snapToGrid w:val="0"/>
        <w:spacing w:before="0" w:beforeAutospacing="0" w:after="0" w:afterAutospacing="0" w:line="300" w:lineRule="auto"/>
        <w:ind w:firstLine="280" w:firstLineChars="100"/>
        <w:rPr>
          <w:rFonts w:cs="仿宋_GB2312" w:asciiTheme="minorEastAsia" w:hAnsiTheme="minorEastAsia" w:eastAsiaTheme="minorEastAsia"/>
          <w:sz w:val="28"/>
          <w:szCs w:val="28"/>
        </w:rPr>
      </w:pPr>
      <w:r>
        <w:rPr>
          <w:rFonts w:hint="eastAsia" w:cs="仿宋_GB2312" w:asciiTheme="minorEastAsia" w:hAnsiTheme="minorEastAsia" w:eastAsiaTheme="minorEastAsia"/>
          <w:kern w:val="2"/>
          <w:sz w:val="28"/>
          <w:szCs w:val="28"/>
          <w:lang w:bidi="ar"/>
        </w:rPr>
        <w:t xml:space="preserve">   附：公司投标之前3年内有无受各级管理部门的处分或处罚（含其授权服务的子公司、分公司等），如果不主动填报而被事后发现的，将取消其投标资格，并按有关规定从重处理；没有受处罚的投标人，要填写“没有受到任何处罚”，此表不能空白。</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977"/>
        <w:gridCol w:w="297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1242" w:type="dxa"/>
            <w:tcBorders>
              <w:top w:val="single" w:color="auto" w:sz="4" w:space="0"/>
              <w:left w:val="single" w:color="auto" w:sz="4" w:space="0"/>
              <w:bottom w:val="single" w:color="auto" w:sz="4" w:space="0"/>
              <w:right w:val="single" w:color="auto" w:sz="4" w:space="0"/>
            </w:tcBorders>
            <w:vAlign w:val="center"/>
          </w:tcPr>
          <w:p>
            <w:pPr>
              <w:pStyle w:val="20"/>
              <w:snapToGrid w:val="0"/>
              <w:spacing w:line="300" w:lineRule="auto"/>
              <w:jc w:val="center"/>
              <w:rPr>
                <w:rFonts w:cs="仿宋_GB2312" w:asciiTheme="minorEastAsia" w:hAnsiTheme="minorEastAsia" w:eastAsiaTheme="minorEastAsia"/>
                <w:b/>
                <w:kern w:val="2"/>
                <w:sz w:val="28"/>
                <w:szCs w:val="28"/>
              </w:rPr>
            </w:pPr>
            <w:r>
              <w:rPr>
                <w:rFonts w:hint="eastAsia" w:cs="仿宋_GB2312" w:asciiTheme="minorEastAsia" w:hAnsiTheme="minorEastAsia" w:eastAsiaTheme="minorEastAsia"/>
                <w:b/>
                <w:kern w:val="2"/>
                <w:sz w:val="28"/>
                <w:szCs w:val="28"/>
              </w:rPr>
              <w:t>时 间</w:t>
            </w:r>
          </w:p>
        </w:tc>
        <w:tc>
          <w:tcPr>
            <w:tcW w:w="2977" w:type="dxa"/>
            <w:tcBorders>
              <w:top w:val="single" w:color="auto" w:sz="4" w:space="0"/>
              <w:left w:val="single" w:color="auto" w:sz="4" w:space="0"/>
              <w:bottom w:val="single" w:color="auto" w:sz="4" w:space="0"/>
              <w:right w:val="single" w:color="auto" w:sz="4" w:space="0"/>
            </w:tcBorders>
            <w:vAlign w:val="center"/>
          </w:tcPr>
          <w:p>
            <w:pPr>
              <w:pStyle w:val="20"/>
              <w:snapToGrid w:val="0"/>
              <w:spacing w:line="300" w:lineRule="auto"/>
              <w:jc w:val="center"/>
              <w:rPr>
                <w:rFonts w:cs="仿宋_GB2312" w:asciiTheme="minorEastAsia" w:hAnsiTheme="minorEastAsia" w:eastAsiaTheme="minorEastAsia"/>
                <w:b/>
                <w:kern w:val="2"/>
                <w:sz w:val="28"/>
                <w:szCs w:val="28"/>
              </w:rPr>
            </w:pPr>
            <w:r>
              <w:rPr>
                <w:rFonts w:hint="eastAsia" w:cs="仿宋_GB2312" w:asciiTheme="minorEastAsia" w:hAnsiTheme="minorEastAsia" w:eastAsiaTheme="minorEastAsia"/>
                <w:b/>
                <w:kern w:val="2"/>
                <w:sz w:val="28"/>
                <w:szCs w:val="28"/>
              </w:rPr>
              <w:t>受处理的原因</w:t>
            </w:r>
          </w:p>
          <w:p>
            <w:pPr>
              <w:pStyle w:val="20"/>
              <w:snapToGrid w:val="0"/>
              <w:spacing w:line="300" w:lineRule="auto"/>
              <w:jc w:val="center"/>
              <w:rPr>
                <w:rFonts w:cs="仿宋_GB2312" w:asciiTheme="minorEastAsia" w:hAnsiTheme="minorEastAsia" w:eastAsiaTheme="minorEastAsia"/>
                <w:kern w:val="2"/>
                <w:sz w:val="28"/>
                <w:szCs w:val="28"/>
              </w:rPr>
            </w:pPr>
            <w:r>
              <w:rPr>
                <w:rFonts w:hint="eastAsia" w:cs="仿宋_GB2312" w:asciiTheme="minorEastAsia" w:hAnsiTheme="minorEastAsia" w:eastAsiaTheme="minorEastAsia"/>
                <w:kern w:val="2"/>
                <w:sz w:val="28"/>
                <w:szCs w:val="28"/>
              </w:rPr>
              <w:t>（如在政府采购活动中受处理的，注明采购项目名称及处理原因）</w:t>
            </w:r>
          </w:p>
        </w:tc>
        <w:tc>
          <w:tcPr>
            <w:tcW w:w="2977" w:type="dxa"/>
            <w:tcBorders>
              <w:top w:val="single" w:color="auto" w:sz="4" w:space="0"/>
              <w:left w:val="single" w:color="auto" w:sz="4" w:space="0"/>
              <w:bottom w:val="single" w:color="auto" w:sz="4" w:space="0"/>
              <w:right w:val="single" w:color="auto" w:sz="4" w:space="0"/>
            </w:tcBorders>
            <w:vAlign w:val="center"/>
          </w:tcPr>
          <w:p>
            <w:pPr>
              <w:pStyle w:val="20"/>
              <w:snapToGrid w:val="0"/>
              <w:spacing w:line="300" w:lineRule="auto"/>
              <w:jc w:val="center"/>
              <w:rPr>
                <w:rFonts w:cs="仿宋_GB2312" w:asciiTheme="minorEastAsia" w:hAnsiTheme="minorEastAsia" w:eastAsiaTheme="minorEastAsia"/>
                <w:b/>
                <w:kern w:val="2"/>
                <w:sz w:val="28"/>
                <w:szCs w:val="28"/>
              </w:rPr>
            </w:pPr>
            <w:r>
              <w:rPr>
                <w:rFonts w:hint="eastAsia" w:cs="仿宋_GB2312" w:asciiTheme="minorEastAsia" w:hAnsiTheme="minorEastAsia" w:eastAsiaTheme="minorEastAsia"/>
                <w:b/>
                <w:kern w:val="2"/>
                <w:sz w:val="28"/>
                <w:szCs w:val="28"/>
              </w:rPr>
              <w:t>处理的内容</w:t>
            </w:r>
          </w:p>
          <w:p>
            <w:pPr>
              <w:pStyle w:val="20"/>
              <w:snapToGrid w:val="0"/>
              <w:spacing w:line="300" w:lineRule="auto"/>
              <w:jc w:val="center"/>
              <w:rPr>
                <w:rFonts w:cs="仿宋_GB2312" w:asciiTheme="minorEastAsia" w:hAnsiTheme="minorEastAsia" w:eastAsiaTheme="minorEastAsia"/>
                <w:kern w:val="2"/>
                <w:sz w:val="28"/>
                <w:szCs w:val="28"/>
              </w:rPr>
            </w:pPr>
            <w:r>
              <w:rPr>
                <w:rFonts w:hint="eastAsia" w:cs="仿宋_GB2312" w:asciiTheme="minorEastAsia" w:hAnsiTheme="minorEastAsia" w:eastAsiaTheme="minorEastAsia"/>
                <w:kern w:val="2"/>
                <w:sz w:val="28"/>
                <w:szCs w:val="28"/>
              </w:rPr>
              <w:t>（如受到禁止一段时期参加某种项目的政府采购活动的，要说明解禁时间）</w:t>
            </w:r>
          </w:p>
        </w:tc>
        <w:tc>
          <w:tcPr>
            <w:tcW w:w="1276" w:type="dxa"/>
            <w:tcBorders>
              <w:top w:val="single" w:color="auto" w:sz="4" w:space="0"/>
              <w:left w:val="single" w:color="auto" w:sz="4" w:space="0"/>
              <w:bottom w:val="single" w:color="auto" w:sz="4" w:space="0"/>
              <w:right w:val="single" w:color="auto" w:sz="4" w:space="0"/>
            </w:tcBorders>
            <w:vAlign w:val="center"/>
          </w:tcPr>
          <w:p>
            <w:pPr>
              <w:pStyle w:val="20"/>
              <w:snapToGrid w:val="0"/>
              <w:spacing w:line="300" w:lineRule="auto"/>
              <w:jc w:val="center"/>
              <w:rPr>
                <w:rFonts w:cs="仿宋_GB2312" w:asciiTheme="minorEastAsia" w:hAnsiTheme="minorEastAsia" w:eastAsiaTheme="minorEastAsia"/>
                <w:b/>
                <w:kern w:val="2"/>
                <w:sz w:val="28"/>
                <w:szCs w:val="28"/>
              </w:rPr>
            </w:pPr>
            <w:r>
              <w:rPr>
                <w:rFonts w:hint="eastAsia" w:cs="仿宋_GB2312" w:asciiTheme="minorEastAsia" w:hAnsiTheme="minorEastAsia" w:eastAsiaTheme="minorEastAsia"/>
                <w:b/>
                <w:kern w:val="2"/>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9" w:hRule="atLeast"/>
          <w:jc w:val="center"/>
        </w:trPr>
        <w:tc>
          <w:tcPr>
            <w:tcW w:w="1242" w:type="dxa"/>
            <w:tcBorders>
              <w:top w:val="single" w:color="auto" w:sz="4" w:space="0"/>
              <w:left w:val="single" w:color="auto" w:sz="4" w:space="0"/>
              <w:bottom w:val="single" w:color="auto" w:sz="4" w:space="0"/>
              <w:right w:val="single" w:color="auto" w:sz="4" w:space="0"/>
            </w:tcBorders>
          </w:tcPr>
          <w:p>
            <w:pPr>
              <w:pStyle w:val="20"/>
              <w:snapToGrid w:val="0"/>
              <w:spacing w:line="300" w:lineRule="auto"/>
              <w:rPr>
                <w:rFonts w:cs="仿宋_GB2312" w:asciiTheme="minorEastAsia" w:hAnsiTheme="minorEastAsia" w:eastAsiaTheme="minorEastAsia"/>
                <w:kern w:val="2"/>
                <w:sz w:val="28"/>
                <w:szCs w:val="28"/>
              </w:rPr>
            </w:pPr>
          </w:p>
        </w:tc>
        <w:tc>
          <w:tcPr>
            <w:tcW w:w="2977" w:type="dxa"/>
            <w:tcBorders>
              <w:top w:val="single" w:color="auto" w:sz="4" w:space="0"/>
              <w:left w:val="single" w:color="auto" w:sz="4" w:space="0"/>
              <w:bottom w:val="single" w:color="auto" w:sz="4" w:space="0"/>
              <w:right w:val="single" w:color="auto" w:sz="4" w:space="0"/>
            </w:tcBorders>
          </w:tcPr>
          <w:p>
            <w:pPr>
              <w:pStyle w:val="20"/>
              <w:snapToGrid w:val="0"/>
              <w:spacing w:line="300" w:lineRule="auto"/>
              <w:rPr>
                <w:rFonts w:cs="仿宋_GB2312" w:asciiTheme="minorEastAsia" w:hAnsiTheme="minorEastAsia" w:eastAsiaTheme="minorEastAsia"/>
                <w:kern w:val="2"/>
                <w:sz w:val="28"/>
                <w:szCs w:val="28"/>
              </w:rPr>
            </w:pPr>
          </w:p>
        </w:tc>
        <w:tc>
          <w:tcPr>
            <w:tcW w:w="2977" w:type="dxa"/>
            <w:tcBorders>
              <w:top w:val="single" w:color="auto" w:sz="4" w:space="0"/>
              <w:left w:val="single" w:color="auto" w:sz="4" w:space="0"/>
              <w:bottom w:val="single" w:color="auto" w:sz="4" w:space="0"/>
              <w:right w:val="single" w:color="auto" w:sz="4" w:space="0"/>
            </w:tcBorders>
          </w:tcPr>
          <w:p>
            <w:pPr>
              <w:pStyle w:val="20"/>
              <w:snapToGrid w:val="0"/>
              <w:spacing w:line="300" w:lineRule="auto"/>
              <w:rPr>
                <w:rFonts w:cs="仿宋_GB2312" w:asciiTheme="minorEastAsia" w:hAnsiTheme="minorEastAsia" w:eastAsiaTheme="minorEastAsia"/>
                <w:kern w:val="2"/>
                <w:sz w:val="28"/>
                <w:szCs w:val="28"/>
              </w:rPr>
            </w:pPr>
          </w:p>
        </w:tc>
        <w:tc>
          <w:tcPr>
            <w:tcW w:w="1276" w:type="dxa"/>
            <w:tcBorders>
              <w:top w:val="single" w:color="auto" w:sz="4" w:space="0"/>
              <w:left w:val="single" w:color="auto" w:sz="4" w:space="0"/>
              <w:bottom w:val="single" w:color="auto" w:sz="4" w:space="0"/>
              <w:right w:val="single" w:color="auto" w:sz="4" w:space="0"/>
            </w:tcBorders>
          </w:tcPr>
          <w:p>
            <w:pPr>
              <w:pStyle w:val="20"/>
              <w:snapToGrid w:val="0"/>
              <w:spacing w:line="300" w:lineRule="auto"/>
              <w:rPr>
                <w:rFonts w:cs="仿宋_GB2312" w:asciiTheme="minorEastAsia" w:hAnsiTheme="minorEastAsia" w:eastAsiaTheme="minorEastAsia"/>
                <w:kern w:val="2"/>
                <w:sz w:val="28"/>
                <w:szCs w:val="28"/>
              </w:rPr>
            </w:pPr>
          </w:p>
        </w:tc>
      </w:tr>
    </w:tbl>
    <w:p>
      <w:pPr>
        <w:pStyle w:val="4"/>
        <w:rPr>
          <w:rFonts w:asciiTheme="minorEastAsia" w:hAnsiTheme="minorEastAsia" w:eastAsiaTheme="minorEastAsia"/>
        </w:rPr>
      </w:pPr>
    </w:p>
    <w:p>
      <w:pPr>
        <w:pStyle w:val="20"/>
        <w:widowControl w:val="0"/>
        <w:spacing w:before="0" w:beforeAutospacing="0" w:after="0" w:afterAutospacing="0" w:line="560" w:lineRule="exact"/>
        <w:jc w:val="center"/>
        <w:rPr>
          <w:rFonts w:asciiTheme="minorEastAsia" w:hAnsiTheme="minorEastAsia" w:eastAsiaTheme="minorEastAsia"/>
          <w:b/>
          <w:sz w:val="32"/>
          <w:szCs w:val="32"/>
        </w:rPr>
      </w:pPr>
      <w:r>
        <w:rPr>
          <w:rFonts w:hint="eastAsia" w:cs="黑体" w:asciiTheme="minorEastAsia" w:hAnsiTheme="minorEastAsia" w:eastAsiaTheme="minorEastAsia"/>
          <w:sz w:val="30"/>
          <w:szCs w:val="30"/>
          <w:lang w:val="en-GB"/>
        </w:rPr>
        <w:br w:type="page"/>
      </w:r>
      <w:r>
        <w:rPr>
          <w:rFonts w:hint="eastAsia" w:asciiTheme="minorEastAsia" w:hAnsiTheme="minorEastAsia" w:eastAsiaTheme="minorEastAsia"/>
          <w:b/>
          <w:kern w:val="2"/>
          <w:sz w:val="32"/>
          <w:szCs w:val="32"/>
          <w:lang w:bidi="ar"/>
        </w:rPr>
        <w:t>法定代表人身份证明</w:t>
      </w:r>
    </w:p>
    <w:p>
      <w:pPr>
        <w:spacing w:line="480" w:lineRule="exact"/>
        <w:rPr>
          <w:rFonts w:asciiTheme="minorEastAsia" w:hAnsiTheme="minorEastAsia" w:eastAsiaTheme="minorEastAsia"/>
          <w:sz w:val="24"/>
        </w:rPr>
      </w:pPr>
    </w:p>
    <w:p>
      <w:pPr>
        <w:spacing w:line="480" w:lineRule="exact"/>
        <w:ind w:firstLine="480" w:firstLineChars="200"/>
        <w:rPr>
          <w:rFonts w:asciiTheme="minorEastAsia" w:hAnsiTheme="minorEastAsia" w:eastAsiaTheme="minorEastAsia"/>
          <w:sz w:val="24"/>
        </w:rPr>
      </w:pPr>
      <w:r>
        <w:rPr>
          <w:rFonts w:asciiTheme="minorEastAsia" w:hAnsiTheme="minorEastAsia" w:eastAsiaTheme="minorEastAsia"/>
          <w:sz w:val="24"/>
          <w:highlight w:val="white"/>
          <w:u w:val="single"/>
          <w:lang w:bidi="ar"/>
        </w:rPr>
        <w:t xml:space="preserve">        </w:t>
      </w:r>
      <w:r>
        <w:rPr>
          <w:rFonts w:hint="eastAsia" w:cs="仿宋_GB2312" w:asciiTheme="minorEastAsia" w:hAnsiTheme="minorEastAsia" w:eastAsiaTheme="minorEastAsia"/>
          <w:sz w:val="24"/>
          <w:highlight w:val="white"/>
          <w:lang w:bidi="ar"/>
        </w:rPr>
        <w:t>先生</w:t>
      </w:r>
      <w:r>
        <w:rPr>
          <w:rFonts w:asciiTheme="minorEastAsia" w:hAnsiTheme="minorEastAsia" w:eastAsiaTheme="minorEastAsia"/>
          <w:sz w:val="24"/>
          <w:highlight w:val="white"/>
          <w:lang w:bidi="ar"/>
        </w:rPr>
        <w:t>/</w:t>
      </w:r>
      <w:r>
        <w:rPr>
          <w:rFonts w:hint="eastAsia" w:cs="仿宋_GB2312" w:asciiTheme="minorEastAsia" w:hAnsiTheme="minorEastAsia" w:eastAsiaTheme="minorEastAsia"/>
          <w:sz w:val="24"/>
          <w:highlight w:val="white"/>
          <w:lang w:bidi="ar"/>
        </w:rPr>
        <w:t>女士：</w:t>
      </w:r>
      <w:r>
        <w:rPr>
          <w:rFonts w:asciiTheme="minorEastAsia" w:hAnsiTheme="minorEastAsia" w:eastAsiaTheme="minorEastAsia"/>
          <w:sz w:val="24"/>
          <w:highlight w:val="white"/>
          <w:lang w:bidi="ar"/>
        </w:rPr>
        <w:t xml:space="preserve"> </w:t>
      </w:r>
      <w:r>
        <w:rPr>
          <w:rFonts w:hint="eastAsia" w:cs="仿宋_GB2312" w:asciiTheme="minorEastAsia" w:hAnsiTheme="minorEastAsia" w:eastAsiaTheme="minorEastAsia"/>
          <w:sz w:val="24"/>
          <w:highlight w:val="white"/>
          <w:lang w:bidi="ar"/>
        </w:rPr>
        <w:t>现任我单位</w:t>
      </w:r>
      <w:r>
        <w:rPr>
          <w:rFonts w:asciiTheme="minorEastAsia" w:hAnsiTheme="minorEastAsia" w:eastAsiaTheme="minorEastAsia"/>
          <w:sz w:val="24"/>
          <w:highlight w:val="white"/>
          <w:u w:val="single"/>
          <w:lang w:bidi="ar"/>
        </w:rPr>
        <w:t xml:space="preserve">        </w:t>
      </w:r>
      <w:r>
        <w:rPr>
          <w:rFonts w:hint="eastAsia" w:cs="仿宋_GB2312" w:asciiTheme="minorEastAsia" w:hAnsiTheme="minorEastAsia" w:eastAsiaTheme="minorEastAsia"/>
          <w:sz w:val="24"/>
          <w:highlight w:val="white"/>
          <w:lang w:bidi="ar"/>
        </w:rPr>
        <w:t>职务，为法定代表人，特此证明。</w:t>
      </w:r>
    </w:p>
    <w:p>
      <w:pPr>
        <w:spacing w:line="480" w:lineRule="exact"/>
        <w:ind w:firstLine="480"/>
        <w:rPr>
          <w:rFonts w:asciiTheme="minorEastAsia" w:hAnsiTheme="minorEastAsia" w:eastAsiaTheme="minorEastAsia"/>
          <w:sz w:val="24"/>
          <w:u w:val="single"/>
        </w:rPr>
      </w:pPr>
      <w:r>
        <w:rPr>
          <w:rFonts w:hint="eastAsia" w:cs="仿宋_GB2312" w:asciiTheme="minorEastAsia" w:hAnsiTheme="minorEastAsia" w:eastAsiaTheme="minorEastAsia"/>
          <w:sz w:val="24"/>
          <w:lang w:bidi="ar"/>
        </w:rPr>
        <w:t>身份证号码：</w:t>
      </w:r>
      <w:r>
        <w:rPr>
          <w:rFonts w:asciiTheme="minorEastAsia" w:hAnsiTheme="minorEastAsia" w:eastAsiaTheme="minorEastAsia"/>
          <w:sz w:val="24"/>
          <w:highlight w:val="white"/>
          <w:u w:val="single"/>
          <w:lang w:bidi="ar"/>
        </w:rPr>
        <w:t xml:space="preserve">                                               </w:t>
      </w:r>
    </w:p>
    <w:p>
      <w:pPr>
        <w:spacing w:line="480" w:lineRule="exact"/>
        <w:ind w:firstLine="480"/>
        <w:rPr>
          <w:rFonts w:asciiTheme="minorEastAsia" w:hAnsiTheme="minorEastAsia" w:eastAsiaTheme="minorEastAsia"/>
          <w:sz w:val="24"/>
        </w:rPr>
      </w:pPr>
    </w:p>
    <w:p>
      <w:pPr>
        <w:pStyle w:val="30"/>
        <w:widowControl/>
        <w:spacing w:line="600" w:lineRule="exact"/>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注：提供法定代表人的身份证复印件盖公章</w:t>
      </w:r>
    </w:p>
    <w:p>
      <w:pPr>
        <w:pStyle w:val="3"/>
        <w:jc w:val="both"/>
        <w:rPr>
          <w:rFonts w:cs="黑体" w:asciiTheme="minorEastAsia" w:hAnsiTheme="minorEastAsia" w:eastAsiaTheme="minorEastAsia"/>
          <w:sz w:val="30"/>
          <w:szCs w:val="30"/>
          <w:lang w:val="en-GB"/>
        </w:rPr>
      </w:pPr>
    </w:p>
    <w:p>
      <w:pPr>
        <w:pStyle w:val="4"/>
        <w:rPr>
          <w:rFonts w:cs="黑体" w:asciiTheme="minorEastAsia" w:hAnsiTheme="minorEastAsia" w:eastAsiaTheme="minorEastAsia"/>
          <w:sz w:val="30"/>
          <w:szCs w:val="30"/>
          <w:lang w:val="en-GB"/>
        </w:rPr>
      </w:pPr>
    </w:p>
    <w:p>
      <w:pPr>
        <w:pStyle w:val="4"/>
        <w:rPr>
          <w:rFonts w:cs="黑体" w:asciiTheme="minorEastAsia" w:hAnsiTheme="minorEastAsia" w:eastAsiaTheme="minorEastAsia"/>
          <w:sz w:val="30"/>
          <w:szCs w:val="30"/>
          <w:lang w:val="en-GB"/>
        </w:rPr>
      </w:pPr>
    </w:p>
    <w:p>
      <w:pPr>
        <w:pStyle w:val="4"/>
        <w:rPr>
          <w:rFonts w:cs="黑体" w:asciiTheme="minorEastAsia" w:hAnsiTheme="minorEastAsia" w:eastAsiaTheme="minorEastAsia"/>
          <w:sz w:val="30"/>
          <w:szCs w:val="30"/>
          <w:lang w:val="en-GB"/>
        </w:rPr>
      </w:pPr>
    </w:p>
    <w:p>
      <w:pPr>
        <w:pStyle w:val="4"/>
        <w:rPr>
          <w:rFonts w:cs="黑体" w:asciiTheme="minorEastAsia" w:hAnsiTheme="minorEastAsia" w:eastAsiaTheme="minorEastAsia"/>
          <w:sz w:val="30"/>
          <w:szCs w:val="30"/>
          <w:lang w:val="en-GB"/>
        </w:rPr>
      </w:pPr>
    </w:p>
    <w:p>
      <w:pPr>
        <w:pStyle w:val="4"/>
        <w:rPr>
          <w:rFonts w:cs="黑体" w:asciiTheme="minorEastAsia" w:hAnsiTheme="minorEastAsia" w:eastAsiaTheme="minorEastAsia"/>
          <w:sz w:val="30"/>
          <w:szCs w:val="30"/>
          <w:lang w:val="en-GB"/>
        </w:rPr>
      </w:pPr>
    </w:p>
    <w:p>
      <w:pPr>
        <w:pStyle w:val="4"/>
        <w:rPr>
          <w:rFonts w:cs="黑体" w:asciiTheme="minorEastAsia" w:hAnsiTheme="minorEastAsia" w:eastAsiaTheme="minorEastAsia"/>
          <w:sz w:val="30"/>
          <w:szCs w:val="30"/>
          <w:lang w:val="en-GB"/>
        </w:rPr>
      </w:pPr>
    </w:p>
    <w:p>
      <w:pPr>
        <w:pStyle w:val="4"/>
        <w:rPr>
          <w:rFonts w:cs="黑体" w:asciiTheme="minorEastAsia" w:hAnsiTheme="minorEastAsia" w:eastAsiaTheme="minorEastAsia"/>
          <w:sz w:val="30"/>
          <w:szCs w:val="30"/>
          <w:lang w:val="en-GB"/>
        </w:rPr>
      </w:pPr>
    </w:p>
    <w:p>
      <w:pPr>
        <w:pStyle w:val="4"/>
        <w:rPr>
          <w:rFonts w:cs="黑体" w:asciiTheme="minorEastAsia" w:hAnsiTheme="minorEastAsia" w:eastAsiaTheme="minorEastAsia"/>
          <w:sz w:val="30"/>
          <w:szCs w:val="30"/>
          <w:lang w:val="en-GB"/>
        </w:rPr>
      </w:pPr>
    </w:p>
    <w:p>
      <w:pPr>
        <w:pStyle w:val="4"/>
        <w:rPr>
          <w:rFonts w:cs="黑体" w:asciiTheme="minorEastAsia" w:hAnsiTheme="minorEastAsia" w:eastAsiaTheme="minorEastAsia"/>
          <w:sz w:val="30"/>
          <w:szCs w:val="30"/>
          <w:lang w:val="en-GB"/>
        </w:rPr>
      </w:pPr>
    </w:p>
    <w:p>
      <w:pPr>
        <w:pStyle w:val="4"/>
        <w:rPr>
          <w:rFonts w:cs="黑体" w:asciiTheme="minorEastAsia" w:hAnsiTheme="minorEastAsia" w:eastAsiaTheme="minorEastAsia"/>
          <w:sz w:val="30"/>
          <w:szCs w:val="30"/>
          <w:lang w:val="en-GB"/>
        </w:rPr>
      </w:pPr>
    </w:p>
    <w:p>
      <w:pPr>
        <w:pStyle w:val="4"/>
        <w:rPr>
          <w:rFonts w:cs="黑体" w:asciiTheme="minorEastAsia" w:hAnsiTheme="minorEastAsia" w:eastAsiaTheme="minorEastAsia"/>
          <w:sz w:val="30"/>
          <w:szCs w:val="30"/>
          <w:lang w:val="en-GB"/>
        </w:rPr>
      </w:pPr>
    </w:p>
    <w:p>
      <w:pPr>
        <w:pStyle w:val="4"/>
        <w:rPr>
          <w:rFonts w:cs="黑体" w:asciiTheme="minorEastAsia" w:hAnsiTheme="minorEastAsia" w:eastAsiaTheme="minorEastAsia"/>
          <w:sz w:val="30"/>
          <w:szCs w:val="30"/>
          <w:lang w:val="en-GB"/>
        </w:rPr>
      </w:pPr>
    </w:p>
    <w:p>
      <w:pPr>
        <w:pStyle w:val="4"/>
        <w:rPr>
          <w:rFonts w:cs="黑体" w:asciiTheme="minorEastAsia" w:hAnsiTheme="minorEastAsia" w:eastAsiaTheme="minorEastAsia"/>
          <w:sz w:val="30"/>
          <w:szCs w:val="30"/>
          <w:lang w:val="en-GB"/>
        </w:rPr>
      </w:pPr>
    </w:p>
    <w:p>
      <w:pPr>
        <w:pStyle w:val="4"/>
        <w:rPr>
          <w:rFonts w:cs="黑体" w:asciiTheme="minorEastAsia" w:hAnsiTheme="minorEastAsia" w:eastAsiaTheme="minorEastAsia"/>
          <w:sz w:val="30"/>
          <w:szCs w:val="30"/>
          <w:lang w:val="en-GB"/>
        </w:rPr>
      </w:pPr>
    </w:p>
    <w:p>
      <w:pPr>
        <w:pStyle w:val="4"/>
        <w:rPr>
          <w:rFonts w:cs="黑体" w:asciiTheme="minorEastAsia" w:hAnsiTheme="minorEastAsia" w:eastAsiaTheme="minorEastAsia"/>
          <w:sz w:val="30"/>
          <w:szCs w:val="30"/>
          <w:lang w:val="en-GB"/>
        </w:rPr>
      </w:pPr>
    </w:p>
    <w:p>
      <w:pPr>
        <w:pStyle w:val="4"/>
        <w:rPr>
          <w:rFonts w:cs="黑体" w:asciiTheme="minorEastAsia" w:hAnsiTheme="minorEastAsia" w:eastAsiaTheme="minorEastAsia"/>
          <w:sz w:val="30"/>
          <w:szCs w:val="30"/>
          <w:lang w:val="en-GB"/>
        </w:rPr>
      </w:pPr>
    </w:p>
    <w:p>
      <w:pPr>
        <w:pStyle w:val="4"/>
        <w:rPr>
          <w:rFonts w:cs="黑体" w:asciiTheme="minorEastAsia" w:hAnsiTheme="minorEastAsia" w:eastAsiaTheme="minorEastAsia"/>
          <w:sz w:val="30"/>
          <w:szCs w:val="30"/>
          <w:lang w:val="en-GB"/>
        </w:rPr>
      </w:pPr>
    </w:p>
    <w:p>
      <w:pPr>
        <w:pStyle w:val="4"/>
        <w:rPr>
          <w:rFonts w:cs="黑体" w:asciiTheme="minorEastAsia" w:hAnsiTheme="minorEastAsia" w:eastAsiaTheme="minorEastAsia"/>
          <w:sz w:val="30"/>
          <w:szCs w:val="30"/>
          <w:lang w:val="en-GB"/>
        </w:rPr>
      </w:pPr>
    </w:p>
    <w:p>
      <w:pPr>
        <w:pStyle w:val="4"/>
        <w:rPr>
          <w:rFonts w:cs="黑体" w:asciiTheme="minorEastAsia" w:hAnsiTheme="minorEastAsia" w:eastAsiaTheme="minorEastAsia"/>
          <w:sz w:val="30"/>
          <w:szCs w:val="30"/>
          <w:lang w:val="en-GB"/>
        </w:rPr>
      </w:pPr>
    </w:p>
    <w:p>
      <w:pPr>
        <w:pStyle w:val="4"/>
        <w:rPr>
          <w:rFonts w:cs="黑体" w:asciiTheme="minorEastAsia" w:hAnsiTheme="minorEastAsia" w:eastAsiaTheme="minorEastAsia"/>
          <w:sz w:val="30"/>
          <w:szCs w:val="30"/>
          <w:lang w:val="en-GB"/>
        </w:rPr>
      </w:pPr>
    </w:p>
    <w:p>
      <w:pPr>
        <w:pStyle w:val="4"/>
        <w:rPr>
          <w:rFonts w:cs="黑体" w:asciiTheme="minorEastAsia" w:hAnsiTheme="minorEastAsia" w:eastAsiaTheme="minorEastAsia"/>
          <w:sz w:val="30"/>
          <w:szCs w:val="30"/>
          <w:lang w:val="en-GB"/>
        </w:rPr>
      </w:pPr>
    </w:p>
    <w:p>
      <w:pPr>
        <w:pStyle w:val="4"/>
        <w:rPr>
          <w:rFonts w:cs="黑体" w:asciiTheme="minorEastAsia" w:hAnsiTheme="minorEastAsia" w:eastAsiaTheme="minorEastAsia"/>
          <w:sz w:val="30"/>
          <w:szCs w:val="30"/>
          <w:lang w:val="en-GB"/>
        </w:rPr>
      </w:pPr>
    </w:p>
    <w:p>
      <w:pPr>
        <w:pStyle w:val="4"/>
        <w:rPr>
          <w:rFonts w:cs="黑体" w:asciiTheme="minorEastAsia" w:hAnsiTheme="minorEastAsia" w:eastAsiaTheme="minorEastAsia"/>
          <w:sz w:val="30"/>
          <w:szCs w:val="30"/>
          <w:lang w:val="en-GB"/>
        </w:rPr>
      </w:pPr>
    </w:p>
    <w:p>
      <w:pPr>
        <w:pStyle w:val="4"/>
        <w:rPr>
          <w:rFonts w:cs="黑体" w:asciiTheme="minorEastAsia" w:hAnsiTheme="minorEastAsia" w:eastAsiaTheme="minorEastAsia"/>
          <w:sz w:val="30"/>
          <w:szCs w:val="30"/>
          <w:lang w:val="en-GB"/>
        </w:rPr>
      </w:pPr>
    </w:p>
    <w:p>
      <w:pPr>
        <w:pStyle w:val="4"/>
        <w:rPr>
          <w:rFonts w:cs="黑体" w:asciiTheme="minorEastAsia" w:hAnsiTheme="minorEastAsia" w:eastAsiaTheme="minorEastAsia"/>
          <w:sz w:val="30"/>
          <w:szCs w:val="30"/>
          <w:lang w:val="en-GB"/>
        </w:rPr>
      </w:pPr>
    </w:p>
    <w:p>
      <w:pPr>
        <w:pStyle w:val="4"/>
        <w:rPr>
          <w:rFonts w:cs="黑体" w:asciiTheme="minorEastAsia" w:hAnsiTheme="minorEastAsia" w:eastAsiaTheme="minorEastAsia"/>
          <w:sz w:val="30"/>
          <w:szCs w:val="30"/>
          <w:lang w:val="en-GB"/>
        </w:rPr>
      </w:pPr>
    </w:p>
    <w:p>
      <w:pPr>
        <w:pStyle w:val="4"/>
        <w:rPr>
          <w:rFonts w:cs="黑体" w:asciiTheme="minorEastAsia" w:hAnsiTheme="minorEastAsia" w:eastAsiaTheme="minorEastAsia"/>
          <w:sz w:val="30"/>
          <w:szCs w:val="30"/>
          <w:lang w:val="en-GB"/>
        </w:rPr>
      </w:pPr>
    </w:p>
    <w:p>
      <w:pPr>
        <w:pStyle w:val="3"/>
        <w:rPr>
          <w:rFonts w:cs="黑体" w:asciiTheme="minorEastAsia" w:hAnsiTheme="minorEastAsia" w:eastAsiaTheme="minorEastAsia"/>
          <w:sz w:val="30"/>
          <w:szCs w:val="30"/>
          <w:lang w:val="en-GB"/>
        </w:rPr>
      </w:pPr>
      <w:r>
        <w:rPr>
          <w:rFonts w:hint="eastAsia" w:asciiTheme="minorEastAsia" w:hAnsiTheme="minorEastAsia" w:eastAsiaTheme="minorEastAsia"/>
          <w:szCs w:val="21"/>
        </w:rPr>
        <w:t>授权委托书</w:t>
      </w:r>
    </w:p>
    <w:p>
      <w:pPr>
        <w:spacing w:line="560" w:lineRule="exact"/>
        <w:rPr>
          <w:rFonts w:asciiTheme="minorEastAsia" w:hAnsiTheme="minorEastAsia" w:eastAsiaTheme="minorEastAsia"/>
          <w:bCs/>
          <w:sz w:val="28"/>
          <w:szCs w:val="28"/>
        </w:rPr>
      </w:pPr>
      <w:r>
        <w:rPr>
          <w:rFonts w:hint="eastAsia" w:asciiTheme="minorEastAsia" w:hAnsiTheme="minorEastAsia" w:eastAsiaTheme="minorEastAsia"/>
          <w:sz w:val="28"/>
          <w:szCs w:val="28"/>
          <w:u w:val="single"/>
        </w:rPr>
        <w:t>南通市海门区区域社会治理现代化指挥中心</w:t>
      </w:r>
      <w:r>
        <w:rPr>
          <w:rFonts w:hint="eastAsia" w:asciiTheme="minorEastAsia" w:hAnsiTheme="minorEastAsia" w:eastAsiaTheme="minorEastAsia"/>
          <w:bCs/>
          <w:sz w:val="28"/>
          <w:szCs w:val="28"/>
        </w:rPr>
        <w:t>：</w:t>
      </w:r>
    </w:p>
    <w:p>
      <w:pPr>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兹授权</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Cs w:val="21"/>
        </w:rPr>
        <w:t>被授权人的姓名、职务</w:t>
      </w:r>
      <w:r>
        <w:rPr>
          <w:rFonts w:hint="eastAsia" w:asciiTheme="minorEastAsia" w:hAnsiTheme="minorEastAsia" w:eastAsiaTheme="minorEastAsia"/>
          <w:sz w:val="28"/>
          <w:szCs w:val="28"/>
        </w:rPr>
        <w:t>）代表我公司参加</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r>
        <w:rPr>
          <w:rFonts w:hint="eastAsia" w:asciiTheme="minorEastAsia" w:hAnsiTheme="minorEastAsia" w:eastAsiaTheme="minorEastAsia"/>
          <w:szCs w:val="21"/>
        </w:rPr>
        <w:t>采购项目名称</w:t>
      </w:r>
      <w:r>
        <w:rPr>
          <w:rFonts w:hint="eastAsia" w:asciiTheme="minorEastAsia" w:hAnsiTheme="minorEastAsia" w:eastAsiaTheme="minorEastAsia"/>
          <w:sz w:val="28"/>
          <w:szCs w:val="28"/>
        </w:rPr>
        <w:t>)项目的招标采购活动，全权处理一切与该项目招标有关的事务。其在办理上述事宜过程中所签署的所有文件我公司均予以承认，我公司对被授权人签名的所有文件负全部责任。</w:t>
      </w:r>
    </w:p>
    <w:p>
      <w:pPr>
        <w:spacing w:line="560" w:lineRule="exact"/>
        <w:rPr>
          <w:rFonts w:asciiTheme="minorEastAsia" w:hAnsiTheme="minorEastAsia" w:eastAsiaTheme="minorEastAsia"/>
          <w:szCs w:val="21"/>
        </w:rPr>
      </w:pPr>
      <w:r>
        <w:rPr>
          <w:rFonts w:hint="eastAsia" w:asciiTheme="minorEastAsia" w:hAnsiTheme="minorEastAsia" w:eastAsiaTheme="minorEastAsia"/>
          <w:szCs w:val="21"/>
        </w:rPr>
        <w:t>附：授权代表情况：</w:t>
      </w:r>
    </w:p>
    <w:p>
      <w:pPr>
        <w:spacing w:line="560" w:lineRule="exact"/>
        <w:rPr>
          <w:rFonts w:asciiTheme="minorEastAsia" w:hAnsiTheme="minorEastAsia" w:eastAsiaTheme="minorEastAsia"/>
          <w:szCs w:val="21"/>
          <w:u w:val="single"/>
        </w:rPr>
      </w:pPr>
      <w:r>
        <w:rPr>
          <w:rFonts w:hint="eastAsia" w:asciiTheme="minorEastAsia" w:hAnsiTheme="minorEastAsia" w:eastAsiaTheme="minorEastAsia"/>
          <w:szCs w:val="21"/>
        </w:rPr>
        <w:t>姓名：</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 性别：</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年龄：</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职务：</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联系电话：</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手机：</w:t>
      </w:r>
      <w:r>
        <w:rPr>
          <w:rFonts w:hint="eastAsia" w:asciiTheme="minorEastAsia" w:hAnsiTheme="minorEastAsia" w:eastAsiaTheme="minorEastAsia"/>
          <w:szCs w:val="21"/>
          <w:u w:val="single"/>
        </w:rPr>
        <w:t xml:space="preserve">            </w:t>
      </w:r>
    </w:p>
    <w:p>
      <w:pPr>
        <w:spacing w:line="560" w:lineRule="exact"/>
        <w:rPr>
          <w:rFonts w:asciiTheme="minorEastAsia" w:hAnsiTheme="minorEastAsia" w:eastAsiaTheme="minorEastAsia"/>
          <w:szCs w:val="21"/>
          <w:u w:val="single"/>
        </w:rPr>
      </w:pPr>
      <w:r>
        <w:rPr>
          <w:rFonts w:hint="eastAsia" w:asciiTheme="minorEastAsia" w:hAnsiTheme="minorEastAsia" w:eastAsiaTheme="minorEastAsia"/>
          <w:szCs w:val="21"/>
        </w:rPr>
        <w:t>身份证号码：</w:t>
      </w:r>
      <w:r>
        <w:rPr>
          <w:rFonts w:hint="eastAsia" w:asciiTheme="minorEastAsia" w:hAnsiTheme="minorEastAsia" w:eastAsiaTheme="minorEastAsia"/>
          <w:szCs w:val="21"/>
          <w:u w:val="single"/>
        </w:rPr>
        <w:t xml:space="preserve">                               </w:t>
      </w:r>
    </w:p>
    <w:p>
      <w:pPr>
        <w:spacing w:line="560" w:lineRule="exact"/>
        <w:rPr>
          <w:rFonts w:asciiTheme="minorEastAsia" w:hAnsiTheme="minorEastAsia" w:eastAsiaTheme="minorEastAsia"/>
          <w:szCs w:val="21"/>
        </w:rPr>
      </w:pPr>
      <w:r>
        <w:rPr>
          <w:rFonts w:hint="eastAsia" w:asciiTheme="minorEastAsia" w:hAnsiTheme="minorEastAsia" w:eastAsiaTheme="minorEastAsia"/>
          <w:szCs w:val="21"/>
        </w:rPr>
        <w:t>详细通讯地址：</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邮政编码：</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 传真：</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 </w:t>
      </w:r>
    </w:p>
    <w:p>
      <w:pPr>
        <w:spacing w:line="560" w:lineRule="exact"/>
        <w:rPr>
          <w:rFonts w:asciiTheme="minorEastAsia" w:hAnsiTheme="minorEastAsia" w:eastAsiaTheme="minorEastAsia"/>
          <w:szCs w:val="21"/>
        </w:rPr>
      </w:pPr>
    </w:p>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单位名称（公章）             </w:t>
      </w:r>
      <w:r>
        <w:rPr>
          <w:rFonts w:hint="eastAsia" w:asciiTheme="minorEastAsia" w:hAnsiTheme="minorEastAsia" w:eastAsiaTheme="minorEastAsia"/>
          <w:bCs/>
          <w:sz w:val="28"/>
          <w:szCs w:val="28"/>
        </w:rPr>
        <w:t>法定代表人（签字）</w:t>
      </w:r>
    </w:p>
    <w:p>
      <w:pPr>
        <w:spacing w:line="560" w:lineRule="exact"/>
        <w:ind w:firstLine="1400" w:firstLineChars="500"/>
        <w:rPr>
          <w:rFonts w:asciiTheme="minorEastAsia" w:hAnsiTheme="minorEastAsia" w:eastAsiaTheme="minorEastAsia"/>
          <w:szCs w:val="21"/>
        </w:rPr>
      </w:pPr>
      <w:r>
        <w:rPr>
          <w:rFonts w:hint="eastAsia" w:asciiTheme="minorEastAsia" w:hAnsiTheme="minorEastAsia" w:eastAsiaTheme="minorEastAsia"/>
          <w:sz w:val="28"/>
          <w:szCs w:val="28"/>
        </w:rPr>
        <w:t xml:space="preserve">                                  年   月    日  </w:t>
      </w:r>
    </w:p>
    <w:p>
      <w:pPr>
        <w:pStyle w:val="4"/>
        <w:ind w:firstLine="0"/>
        <w:rPr>
          <w:rFonts w:cs="黑体" w:asciiTheme="minorEastAsia" w:hAnsiTheme="minorEastAsia" w:eastAsiaTheme="minorEastAsia"/>
          <w:sz w:val="30"/>
          <w:szCs w:val="30"/>
          <w:lang w:val="en-GB"/>
        </w:rPr>
      </w:pPr>
    </w:p>
    <w:p>
      <w:pPr>
        <w:pStyle w:val="31"/>
        <w:spacing w:line="560" w:lineRule="atLeast"/>
        <w:jc w:val="center"/>
        <w:rPr>
          <w:rFonts w:cs="宋体" w:asciiTheme="minorEastAsia" w:hAnsiTheme="minorEastAsia" w:eastAsiaTheme="minorEastAsia"/>
          <w:b/>
          <w:bCs/>
          <w:sz w:val="36"/>
          <w:szCs w:val="36"/>
        </w:rPr>
      </w:pPr>
    </w:p>
    <w:p>
      <w:pPr>
        <w:pStyle w:val="31"/>
        <w:spacing w:line="560" w:lineRule="atLeast"/>
        <w:jc w:val="center"/>
        <w:rPr>
          <w:rFonts w:cs="宋体" w:asciiTheme="minorEastAsia" w:hAnsiTheme="minorEastAsia" w:eastAsiaTheme="minorEastAsia"/>
          <w:b/>
          <w:bCs/>
          <w:sz w:val="36"/>
          <w:szCs w:val="36"/>
        </w:rPr>
      </w:pPr>
    </w:p>
    <w:p>
      <w:pPr>
        <w:pStyle w:val="31"/>
        <w:spacing w:line="560" w:lineRule="atLeast"/>
        <w:jc w:val="center"/>
        <w:rPr>
          <w:rFonts w:cs="宋体" w:asciiTheme="minorEastAsia" w:hAnsiTheme="minorEastAsia" w:eastAsiaTheme="minorEastAsia"/>
          <w:b/>
          <w:bCs/>
          <w:sz w:val="36"/>
          <w:szCs w:val="36"/>
        </w:rPr>
      </w:pPr>
    </w:p>
    <w:p>
      <w:pPr>
        <w:pStyle w:val="31"/>
        <w:spacing w:line="560" w:lineRule="atLeast"/>
        <w:jc w:val="center"/>
        <w:rPr>
          <w:rFonts w:cs="宋体" w:asciiTheme="minorEastAsia" w:hAnsiTheme="minorEastAsia" w:eastAsiaTheme="minorEastAsia"/>
          <w:b/>
          <w:bCs/>
          <w:sz w:val="36"/>
          <w:szCs w:val="36"/>
        </w:rPr>
      </w:pPr>
    </w:p>
    <w:p>
      <w:pPr>
        <w:pStyle w:val="31"/>
        <w:spacing w:line="560" w:lineRule="atLeast"/>
        <w:jc w:val="center"/>
        <w:rPr>
          <w:rFonts w:cs="宋体" w:asciiTheme="minorEastAsia" w:hAnsiTheme="minorEastAsia" w:eastAsiaTheme="minorEastAsia"/>
          <w:b/>
          <w:bCs/>
          <w:sz w:val="36"/>
          <w:szCs w:val="36"/>
        </w:rPr>
      </w:pPr>
    </w:p>
    <w:p>
      <w:pPr>
        <w:pStyle w:val="31"/>
        <w:spacing w:line="560" w:lineRule="atLeast"/>
        <w:jc w:val="center"/>
        <w:rPr>
          <w:rFonts w:cs="宋体" w:asciiTheme="minorEastAsia" w:hAnsiTheme="minorEastAsia" w:eastAsiaTheme="minorEastAsia"/>
          <w:b/>
          <w:bCs/>
          <w:sz w:val="36"/>
          <w:szCs w:val="36"/>
        </w:rPr>
      </w:pPr>
    </w:p>
    <w:p>
      <w:pPr>
        <w:pStyle w:val="31"/>
        <w:spacing w:line="560" w:lineRule="atLeast"/>
        <w:jc w:val="center"/>
        <w:rPr>
          <w:rFonts w:cs="宋体" w:asciiTheme="minorEastAsia" w:hAnsiTheme="minorEastAsia" w:eastAsiaTheme="minorEastAsia"/>
          <w:b/>
          <w:bCs/>
          <w:sz w:val="36"/>
          <w:szCs w:val="36"/>
        </w:rPr>
      </w:pPr>
    </w:p>
    <w:p>
      <w:pPr>
        <w:pStyle w:val="31"/>
        <w:spacing w:line="560" w:lineRule="atLeast"/>
        <w:jc w:val="center"/>
        <w:rPr>
          <w:rFonts w:cs="宋体" w:asciiTheme="minorEastAsia" w:hAnsiTheme="minorEastAsia" w:eastAsiaTheme="minorEastAsia"/>
          <w:b/>
          <w:bCs/>
          <w:sz w:val="36"/>
          <w:szCs w:val="36"/>
        </w:rPr>
      </w:pPr>
    </w:p>
    <w:p>
      <w:pPr>
        <w:pStyle w:val="31"/>
        <w:spacing w:line="560" w:lineRule="atLeast"/>
        <w:jc w:val="center"/>
        <w:rPr>
          <w:rFonts w:cs="宋体" w:asciiTheme="minorEastAsia" w:hAnsiTheme="minorEastAsia" w:eastAsiaTheme="minorEastAsia"/>
          <w:b/>
          <w:bCs/>
          <w:sz w:val="36"/>
          <w:szCs w:val="36"/>
        </w:rPr>
      </w:pPr>
    </w:p>
    <w:p>
      <w:pPr>
        <w:pStyle w:val="31"/>
        <w:spacing w:line="560" w:lineRule="atLeast"/>
        <w:jc w:val="center"/>
        <w:rPr>
          <w:rFonts w:cs="宋体" w:asciiTheme="minorEastAsia" w:hAnsiTheme="minorEastAsia" w:eastAsiaTheme="minorEastAsia"/>
          <w:b/>
          <w:bCs/>
          <w:sz w:val="36"/>
          <w:szCs w:val="36"/>
        </w:rPr>
      </w:pPr>
    </w:p>
    <w:p>
      <w:pPr>
        <w:pStyle w:val="31"/>
        <w:spacing w:line="560" w:lineRule="atLeast"/>
        <w:jc w:val="center"/>
        <w:rPr>
          <w:rFonts w:cs="宋体" w:asciiTheme="minorEastAsia" w:hAnsiTheme="minorEastAsia" w:eastAsiaTheme="minorEastAsia"/>
          <w:b/>
          <w:bCs/>
          <w:sz w:val="36"/>
          <w:szCs w:val="36"/>
        </w:rPr>
      </w:pPr>
    </w:p>
    <w:p>
      <w:pPr>
        <w:jc w:val="center"/>
        <w:rPr>
          <w:rFonts w:asciiTheme="minorEastAsia" w:hAnsiTheme="minorEastAsia" w:eastAsiaTheme="minorEastAsia"/>
          <w:b/>
          <w:bCs/>
          <w:sz w:val="36"/>
          <w:szCs w:val="36"/>
        </w:rPr>
      </w:pPr>
    </w:p>
    <w:p>
      <w:pPr>
        <w:jc w:val="center"/>
        <w:rPr>
          <w:b/>
          <w:color w:val="000000"/>
          <w:sz w:val="30"/>
          <w:szCs w:val="30"/>
        </w:rPr>
      </w:pPr>
      <w:r>
        <w:rPr>
          <w:rFonts w:hint="eastAsia"/>
          <w:b/>
          <w:color w:val="000000"/>
          <w:sz w:val="30"/>
          <w:szCs w:val="30"/>
        </w:rPr>
        <w:t>投标人符合《政府采购法》第二十二条规定条件的声明函</w:t>
      </w:r>
    </w:p>
    <w:p>
      <w:pPr>
        <w:spacing w:line="460" w:lineRule="exact"/>
        <w:rPr>
          <w:b/>
          <w:bCs/>
          <w:color w:val="000000"/>
          <w:sz w:val="44"/>
          <w:szCs w:val="44"/>
        </w:rPr>
      </w:pPr>
    </w:p>
    <w:p>
      <w:pPr>
        <w:spacing w:line="520" w:lineRule="exact"/>
        <w:ind w:firstLine="480" w:firstLineChars="200"/>
        <w:rPr>
          <w:b/>
          <w:bCs/>
          <w:color w:val="000000"/>
          <w:sz w:val="24"/>
        </w:rPr>
      </w:pPr>
      <w:r>
        <w:rPr>
          <w:rFonts w:hint="eastAsia"/>
          <w:bCs/>
          <w:color w:val="000000"/>
          <w:sz w:val="24"/>
        </w:rPr>
        <w:t>我单位参加</w:t>
      </w:r>
      <w:r>
        <w:rPr>
          <w:rFonts w:hint="eastAsia"/>
          <w:bCs/>
          <w:color w:val="000000"/>
          <w:sz w:val="24"/>
          <w:szCs w:val="21"/>
        </w:rPr>
        <w:t>________________ （项目名称）投标活动。针对《中华人民共和国政府采购法》第二十二条规定做出如下声明：</w:t>
      </w:r>
    </w:p>
    <w:p>
      <w:pPr>
        <w:spacing w:line="520" w:lineRule="exact"/>
        <w:ind w:firstLine="482"/>
        <w:rPr>
          <w:color w:val="000000"/>
          <w:sz w:val="24"/>
        </w:rPr>
      </w:pPr>
      <w:r>
        <w:rPr>
          <w:rFonts w:hint="eastAsia"/>
          <w:bCs/>
          <w:color w:val="000000"/>
          <w:sz w:val="24"/>
          <w:szCs w:val="21"/>
        </w:rPr>
        <w:t>1.我单位具有独立承担民事责任的能力；</w:t>
      </w:r>
    </w:p>
    <w:p>
      <w:pPr>
        <w:spacing w:line="520" w:lineRule="exact"/>
        <w:ind w:firstLine="482"/>
        <w:rPr>
          <w:color w:val="000000"/>
          <w:sz w:val="24"/>
        </w:rPr>
      </w:pPr>
      <w:r>
        <w:rPr>
          <w:rFonts w:hint="eastAsia"/>
          <w:color w:val="000000"/>
          <w:sz w:val="24"/>
        </w:rPr>
        <w:t>2.我单位具有良好的商业信誉和健全的财务会计制度；</w:t>
      </w:r>
    </w:p>
    <w:p>
      <w:pPr>
        <w:spacing w:line="520" w:lineRule="exact"/>
        <w:ind w:firstLine="482"/>
        <w:rPr>
          <w:color w:val="000000"/>
          <w:sz w:val="24"/>
        </w:rPr>
      </w:pPr>
      <w:r>
        <w:rPr>
          <w:rFonts w:hint="eastAsia"/>
          <w:color w:val="000000"/>
          <w:sz w:val="24"/>
        </w:rPr>
        <w:t>3.我单位具有履行合同所必需的设备和专业技术能力；</w:t>
      </w:r>
    </w:p>
    <w:p>
      <w:pPr>
        <w:spacing w:line="520" w:lineRule="exact"/>
        <w:ind w:firstLine="482"/>
        <w:rPr>
          <w:color w:val="000000"/>
          <w:sz w:val="24"/>
        </w:rPr>
      </w:pPr>
      <w:r>
        <w:rPr>
          <w:rFonts w:hint="eastAsia"/>
          <w:color w:val="000000"/>
          <w:sz w:val="24"/>
        </w:rPr>
        <w:t>4.我单位有依法缴纳税收和社会保障资金的良好记录；</w:t>
      </w:r>
    </w:p>
    <w:p>
      <w:pPr>
        <w:spacing w:line="520" w:lineRule="exact"/>
        <w:ind w:firstLine="482"/>
        <w:rPr>
          <w:color w:val="000000"/>
          <w:sz w:val="24"/>
        </w:rPr>
      </w:pPr>
      <w:r>
        <w:rPr>
          <w:rFonts w:hint="eastAsia"/>
          <w:color w:val="000000"/>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pacing w:line="520" w:lineRule="exact"/>
        <w:ind w:firstLine="482"/>
        <w:rPr>
          <w:color w:val="000000"/>
          <w:sz w:val="24"/>
        </w:rPr>
      </w:pPr>
      <w:r>
        <w:rPr>
          <w:rFonts w:hint="eastAsia"/>
          <w:color w:val="000000"/>
          <w:sz w:val="24"/>
        </w:rPr>
        <w:t>6.我单位满足法律、行政法规规定的其他条件。</w:t>
      </w:r>
    </w:p>
    <w:p>
      <w:pPr>
        <w:spacing w:line="500" w:lineRule="exact"/>
        <w:ind w:firstLine="482"/>
        <w:rPr>
          <w:color w:val="000000"/>
          <w:sz w:val="24"/>
        </w:rPr>
      </w:pPr>
    </w:p>
    <w:p>
      <w:pPr>
        <w:spacing w:line="500" w:lineRule="exact"/>
        <w:rPr>
          <w:color w:val="000000"/>
          <w:sz w:val="24"/>
        </w:rPr>
      </w:pPr>
    </w:p>
    <w:p>
      <w:pPr>
        <w:spacing w:line="500" w:lineRule="exact"/>
        <w:rPr>
          <w:bCs/>
          <w:color w:val="000000"/>
          <w:sz w:val="24"/>
          <w:szCs w:val="21"/>
        </w:rPr>
      </w:pPr>
    </w:p>
    <w:p>
      <w:pPr>
        <w:spacing w:line="500" w:lineRule="exact"/>
        <w:rPr>
          <w:bCs/>
          <w:color w:val="000000"/>
          <w:sz w:val="24"/>
          <w:szCs w:val="21"/>
        </w:rPr>
      </w:pPr>
    </w:p>
    <w:p>
      <w:pPr>
        <w:spacing w:line="500" w:lineRule="exact"/>
        <w:rPr>
          <w:bCs/>
          <w:color w:val="000000"/>
          <w:sz w:val="24"/>
          <w:szCs w:val="21"/>
        </w:rPr>
      </w:pPr>
    </w:p>
    <w:p>
      <w:pPr>
        <w:spacing w:line="460" w:lineRule="exact"/>
        <w:jc w:val="center"/>
        <w:rPr>
          <w:bCs/>
          <w:color w:val="000000"/>
          <w:sz w:val="24"/>
          <w:szCs w:val="21"/>
        </w:rPr>
      </w:pPr>
      <w:r>
        <w:rPr>
          <w:rFonts w:hint="eastAsia"/>
          <w:bCs/>
          <w:color w:val="000000"/>
          <w:sz w:val="24"/>
          <w:szCs w:val="21"/>
        </w:rPr>
        <w:t>承诺人名称（公章）：</w:t>
      </w:r>
    </w:p>
    <w:p>
      <w:pPr>
        <w:spacing w:line="460" w:lineRule="exact"/>
        <w:jc w:val="right"/>
        <w:rPr>
          <w:bCs/>
          <w:color w:val="000000"/>
          <w:sz w:val="24"/>
          <w:szCs w:val="21"/>
        </w:rPr>
      </w:pPr>
    </w:p>
    <w:p>
      <w:pPr>
        <w:spacing w:line="460" w:lineRule="exact"/>
        <w:jc w:val="center"/>
        <w:rPr>
          <w:bCs/>
          <w:color w:val="000000"/>
          <w:sz w:val="24"/>
          <w:szCs w:val="21"/>
        </w:rPr>
      </w:pPr>
      <w:r>
        <w:rPr>
          <w:rFonts w:hint="eastAsia"/>
          <w:bCs/>
          <w:color w:val="000000"/>
          <w:sz w:val="24"/>
          <w:szCs w:val="21"/>
          <w:lang w:val="en-US"/>
        </w:rPr>
        <w:t xml:space="preserve">                                         </w:t>
      </w:r>
      <w:r>
        <w:rPr>
          <w:rFonts w:hint="eastAsia"/>
          <w:bCs/>
          <w:color w:val="000000"/>
          <w:sz w:val="24"/>
          <w:szCs w:val="21"/>
        </w:rPr>
        <w:t>日期：______年</w:t>
      </w:r>
      <w:r>
        <w:rPr>
          <w:rFonts w:hint="eastAsia"/>
          <w:bCs/>
          <w:color w:val="000000"/>
          <w:sz w:val="24"/>
          <w:szCs w:val="21"/>
          <w:lang w:val="en-US"/>
        </w:rPr>
        <w:t xml:space="preserve">   </w:t>
      </w:r>
      <w:r>
        <w:rPr>
          <w:rFonts w:hint="eastAsia"/>
          <w:bCs/>
          <w:color w:val="000000"/>
          <w:sz w:val="24"/>
          <w:szCs w:val="21"/>
        </w:rPr>
        <w:t>月</w:t>
      </w:r>
      <w:r>
        <w:rPr>
          <w:rFonts w:hint="eastAsia"/>
          <w:bCs/>
          <w:color w:val="000000"/>
          <w:sz w:val="24"/>
          <w:szCs w:val="21"/>
          <w:lang w:val="en-US"/>
        </w:rPr>
        <w:t xml:space="preserve">   </w:t>
      </w:r>
      <w:r>
        <w:rPr>
          <w:rFonts w:hint="eastAsia"/>
          <w:bCs/>
          <w:color w:val="000000"/>
          <w:sz w:val="24"/>
          <w:szCs w:val="21"/>
        </w:rPr>
        <w:t>日</w:t>
      </w: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snapToGrid w:val="0"/>
        <w:spacing w:line="300" w:lineRule="auto"/>
        <w:outlineLvl w:val="0"/>
        <w:rPr>
          <w:sz w:val="32"/>
          <w:szCs w:val="32"/>
        </w:rPr>
      </w:pPr>
    </w:p>
    <w:p>
      <w:pPr>
        <w:snapToGrid w:val="0"/>
        <w:spacing w:line="300" w:lineRule="auto"/>
        <w:outlineLvl w:val="0"/>
        <w:rPr>
          <w:sz w:val="32"/>
          <w:szCs w:val="32"/>
        </w:rPr>
      </w:pPr>
      <w:r>
        <w:rPr>
          <w:rFonts w:hint="eastAsia"/>
          <w:sz w:val="32"/>
          <w:szCs w:val="32"/>
        </w:rPr>
        <w:t>附件</w:t>
      </w:r>
    </w:p>
    <w:p>
      <w:pPr>
        <w:widowControl/>
        <w:spacing w:line="360" w:lineRule="auto"/>
        <w:ind w:firstLine="643" w:firstLineChars="200"/>
        <w:jc w:val="center"/>
        <w:rPr>
          <w:rFonts w:hAnsi="Times New Roman"/>
          <w:b/>
          <w:sz w:val="32"/>
          <w:szCs w:val="32"/>
        </w:rPr>
      </w:pPr>
      <w:r>
        <w:rPr>
          <w:rFonts w:hint="eastAsia"/>
          <w:b/>
          <w:sz w:val="32"/>
          <w:szCs w:val="32"/>
        </w:rPr>
        <w:t>中小企业声明函</w:t>
      </w:r>
    </w:p>
    <w:p>
      <w:pPr>
        <w:widowControl/>
        <w:spacing w:line="360" w:lineRule="auto"/>
        <w:ind w:firstLine="560" w:firstLineChars="200"/>
        <w:rPr>
          <w:rFonts w:hAnsi="Times New Roman"/>
          <w:sz w:val="28"/>
          <w:szCs w:val="28"/>
        </w:rPr>
      </w:pPr>
      <w:r>
        <w:rPr>
          <w:rFonts w:hint="eastAsia"/>
          <w:sz w:val="28"/>
          <w:szCs w:val="28"/>
        </w:rPr>
        <w:t>本公司郑重声明，根据《政府采购促进中小企业发展管理办法》（财库﹝</w:t>
      </w:r>
      <w:r>
        <w:rPr>
          <w:sz w:val="28"/>
          <w:szCs w:val="28"/>
        </w:rPr>
        <w:t>2020</w:t>
      </w:r>
      <w:r>
        <w:rPr>
          <w:rFonts w:hint="eastAsia"/>
          <w:sz w:val="28"/>
          <w:szCs w:val="28"/>
        </w:rPr>
        <w:t>﹞</w:t>
      </w:r>
      <w:r>
        <w:rPr>
          <w:sz w:val="28"/>
          <w:szCs w:val="28"/>
        </w:rPr>
        <w:t xml:space="preserve">46 </w:t>
      </w:r>
      <w:r>
        <w:rPr>
          <w:rFonts w:hint="eastAsia"/>
          <w:sz w:val="28"/>
          <w:szCs w:val="28"/>
        </w:rPr>
        <w:t>号）的规定，本公司参加</w:t>
      </w:r>
      <w:r>
        <w:rPr>
          <w:rFonts w:hint="eastAsia"/>
          <w:sz w:val="28"/>
          <w:szCs w:val="28"/>
          <w:u w:val="single"/>
        </w:rPr>
        <w:t>南通市海门区区域社会治理现代化指挥中心采购海门</w:t>
      </w:r>
      <w:r>
        <w:rPr>
          <w:rFonts w:hint="eastAsia"/>
          <w:sz w:val="28"/>
          <w:szCs w:val="28"/>
          <w:u w:val="single"/>
          <w:lang w:val="en-US"/>
        </w:rPr>
        <w:t>区</w:t>
      </w:r>
      <w:r>
        <w:rPr>
          <w:rFonts w:hint="eastAsia"/>
          <w:sz w:val="28"/>
          <w:szCs w:val="28"/>
          <w:u w:val="single"/>
        </w:rPr>
        <w:t>可视化</w:t>
      </w:r>
      <w:r>
        <w:rPr>
          <w:rFonts w:hint="eastAsia"/>
          <w:sz w:val="28"/>
          <w:szCs w:val="28"/>
          <w:u w:val="single"/>
          <w:lang w:val="en-US"/>
        </w:rPr>
        <w:t>联动指挥</w:t>
      </w:r>
      <w:r>
        <w:rPr>
          <w:rFonts w:hint="eastAsia"/>
          <w:sz w:val="28"/>
          <w:szCs w:val="28"/>
          <w:u w:val="single"/>
        </w:rPr>
        <w:t>平台和</w:t>
      </w:r>
      <w:r>
        <w:rPr>
          <w:rFonts w:hint="eastAsia"/>
          <w:sz w:val="28"/>
          <w:szCs w:val="28"/>
          <w:u w:val="single"/>
          <w:lang w:val="en-US"/>
        </w:rPr>
        <w:t>海门区</w:t>
      </w:r>
      <w:r>
        <w:rPr>
          <w:rFonts w:hint="eastAsia"/>
          <w:sz w:val="28"/>
          <w:szCs w:val="28"/>
          <w:u w:val="single"/>
        </w:rPr>
        <w:t>政务信息</w:t>
      </w:r>
      <w:r>
        <w:rPr>
          <w:rFonts w:hint="eastAsia"/>
          <w:sz w:val="28"/>
          <w:szCs w:val="28"/>
          <w:u w:val="single"/>
          <w:lang w:val="en-US"/>
        </w:rPr>
        <w:t>资源</w:t>
      </w:r>
      <w:r>
        <w:rPr>
          <w:rFonts w:hint="eastAsia"/>
          <w:sz w:val="28"/>
          <w:szCs w:val="28"/>
          <w:u w:val="single"/>
        </w:rPr>
        <w:t>共享平台三级等保测评项目</w:t>
      </w:r>
      <w:r>
        <w:rPr>
          <w:rFonts w:hint="eastAsia"/>
          <w:sz w:val="28"/>
          <w:szCs w:val="28"/>
        </w:rPr>
        <w:t>采购活动，服务全部由符合政策要求的中小企业承接。相关企业的具体情况如下：</w:t>
      </w:r>
    </w:p>
    <w:p>
      <w:pPr>
        <w:widowControl/>
        <w:spacing w:line="360" w:lineRule="auto"/>
        <w:ind w:firstLine="560" w:firstLineChars="200"/>
        <w:rPr>
          <w:rFonts w:hAnsi="Times New Roman"/>
          <w:sz w:val="28"/>
          <w:szCs w:val="28"/>
        </w:rPr>
      </w:pPr>
      <w:r>
        <w:rPr>
          <w:rFonts w:hint="eastAsia"/>
          <w:sz w:val="28"/>
          <w:szCs w:val="28"/>
          <w:u w:val="single"/>
        </w:rPr>
        <w:t>南通市海门区区域社会治理现代化指挥中心采购海门</w:t>
      </w:r>
      <w:r>
        <w:rPr>
          <w:rFonts w:hint="eastAsia"/>
          <w:sz w:val="28"/>
          <w:szCs w:val="28"/>
          <w:u w:val="single"/>
          <w:lang w:val="en-US"/>
        </w:rPr>
        <w:t>区</w:t>
      </w:r>
      <w:r>
        <w:rPr>
          <w:rFonts w:hint="eastAsia"/>
          <w:sz w:val="28"/>
          <w:szCs w:val="28"/>
          <w:u w:val="single"/>
        </w:rPr>
        <w:t>可视化</w:t>
      </w:r>
      <w:r>
        <w:rPr>
          <w:rFonts w:hint="eastAsia"/>
          <w:sz w:val="28"/>
          <w:szCs w:val="28"/>
          <w:u w:val="single"/>
          <w:lang w:val="en-US"/>
        </w:rPr>
        <w:t>联动指挥</w:t>
      </w:r>
      <w:r>
        <w:rPr>
          <w:rFonts w:hint="eastAsia"/>
          <w:sz w:val="28"/>
          <w:szCs w:val="28"/>
          <w:u w:val="single"/>
        </w:rPr>
        <w:t>平台和</w:t>
      </w:r>
      <w:r>
        <w:rPr>
          <w:rFonts w:hint="eastAsia"/>
          <w:sz w:val="28"/>
          <w:szCs w:val="28"/>
          <w:u w:val="single"/>
          <w:lang w:val="en-US"/>
        </w:rPr>
        <w:t>海门区</w:t>
      </w:r>
      <w:r>
        <w:rPr>
          <w:rFonts w:hint="eastAsia"/>
          <w:sz w:val="28"/>
          <w:szCs w:val="28"/>
          <w:u w:val="single"/>
        </w:rPr>
        <w:t>政务信息</w:t>
      </w:r>
      <w:r>
        <w:rPr>
          <w:rFonts w:hint="eastAsia"/>
          <w:sz w:val="28"/>
          <w:szCs w:val="28"/>
          <w:u w:val="single"/>
          <w:lang w:val="en-US"/>
        </w:rPr>
        <w:t>资源</w:t>
      </w:r>
      <w:r>
        <w:rPr>
          <w:rFonts w:hint="eastAsia"/>
          <w:sz w:val="28"/>
          <w:szCs w:val="28"/>
          <w:u w:val="single"/>
        </w:rPr>
        <w:t>共享平台三级等保测评项目</w:t>
      </w:r>
      <w:r>
        <w:rPr>
          <w:rFonts w:hint="eastAsia"/>
          <w:sz w:val="28"/>
          <w:szCs w:val="28"/>
        </w:rPr>
        <w:t>，属于</w:t>
      </w:r>
      <w:r>
        <w:rPr>
          <w:rFonts w:hint="eastAsia"/>
          <w:sz w:val="28"/>
          <w:szCs w:val="28"/>
          <w:u w:val="single"/>
        </w:rPr>
        <w:t xml:space="preserve"> </w:t>
      </w:r>
      <w:r>
        <w:rPr>
          <w:sz w:val="28"/>
          <w:szCs w:val="28"/>
          <w:u w:val="single"/>
        </w:rPr>
        <w:t xml:space="preserve">     </w:t>
      </w:r>
      <w:r>
        <w:rPr>
          <w:rFonts w:hint="eastAsia"/>
          <w:sz w:val="28"/>
          <w:szCs w:val="28"/>
          <w:u w:val="single"/>
        </w:rPr>
        <w:t>业</w:t>
      </w:r>
      <w:r>
        <w:rPr>
          <w:rFonts w:hint="eastAsia"/>
          <w:sz w:val="28"/>
          <w:szCs w:val="28"/>
        </w:rPr>
        <w:t>；承接企业为</w:t>
      </w:r>
      <w:r>
        <w:rPr>
          <w:rFonts w:hint="eastAsia"/>
          <w:sz w:val="28"/>
          <w:szCs w:val="28"/>
          <w:u w:val="single"/>
        </w:rPr>
        <w:t>（企业名称）</w:t>
      </w:r>
      <w:r>
        <w:rPr>
          <w:rFonts w:hint="eastAsia"/>
          <w:sz w:val="28"/>
          <w:szCs w:val="28"/>
        </w:rPr>
        <w:t>，营业收入</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rPr>
        <w:t>元，资产总额</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rPr>
        <w:t>元，属于</w:t>
      </w:r>
      <w:r>
        <w:rPr>
          <w:rFonts w:hint="eastAsia"/>
          <w:sz w:val="28"/>
          <w:szCs w:val="28"/>
          <w:u w:val="single"/>
        </w:rPr>
        <w:t>（中型企业、小型企业、微型企业）</w:t>
      </w:r>
      <w:r>
        <w:rPr>
          <w:rFonts w:hint="eastAsia"/>
          <w:sz w:val="28"/>
          <w:szCs w:val="28"/>
        </w:rPr>
        <w:t>。</w:t>
      </w:r>
      <w:r>
        <w:rPr>
          <w:sz w:val="28"/>
          <w:szCs w:val="28"/>
        </w:rPr>
        <w:t xml:space="preserve"> </w:t>
      </w:r>
    </w:p>
    <w:p>
      <w:pPr>
        <w:widowControl/>
        <w:spacing w:line="360" w:lineRule="auto"/>
        <w:ind w:firstLine="560" w:firstLineChars="200"/>
        <w:rPr>
          <w:rFonts w:hAnsi="Times New Roman"/>
          <w:sz w:val="28"/>
          <w:szCs w:val="28"/>
        </w:rPr>
      </w:pPr>
      <w:r>
        <w:rPr>
          <w:rFonts w:hint="eastAsia"/>
          <w:sz w:val="28"/>
          <w:szCs w:val="28"/>
        </w:rPr>
        <w:t>以上企业，不属于大企业的分支机构，不存在控股股东为大企业的情形，也不存在与大企业的负责人为同一人的情形。</w:t>
      </w:r>
    </w:p>
    <w:p>
      <w:pPr>
        <w:widowControl/>
        <w:spacing w:line="360" w:lineRule="auto"/>
        <w:ind w:firstLine="560" w:firstLineChars="200"/>
        <w:rPr>
          <w:rFonts w:hAnsi="Times New Roman"/>
          <w:sz w:val="28"/>
          <w:szCs w:val="28"/>
        </w:rPr>
      </w:pPr>
      <w:r>
        <w:rPr>
          <w:rFonts w:hint="eastAsia"/>
          <w:sz w:val="28"/>
          <w:szCs w:val="28"/>
        </w:rPr>
        <w:t>本企业对上述声明内容的真实性负责。如有虚假，将依法承担相应责任。</w:t>
      </w:r>
      <w:r>
        <w:rPr>
          <w:sz w:val="28"/>
          <w:szCs w:val="28"/>
        </w:rPr>
        <w:t xml:space="preserve"> </w:t>
      </w:r>
    </w:p>
    <w:p>
      <w:pPr>
        <w:widowControl/>
        <w:spacing w:line="360" w:lineRule="auto"/>
        <w:ind w:firstLine="560" w:firstLineChars="200"/>
        <w:rPr>
          <w:rFonts w:hAnsi="Times New Roman"/>
          <w:sz w:val="28"/>
          <w:szCs w:val="28"/>
        </w:rPr>
      </w:pPr>
    </w:p>
    <w:p>
      <w:pPr>
        <w:widowControl/>
        <w:spacing w:line="360" w:lineRule="auto"/>
        <w:ind w:firstLine="5040" w:firstLineChars="1800"/>
        <w:rPr>
          <w:rFonts w:hAnsi="Times New Roman"/>
          <w:sz w:val="28"/>
          <w:szCs w:val="28"/>
        </w:rPr>
      </w:pPr>
      <w:r>
        <w:rPr>
          <w:rFonts w:hint="eastAsia"/>
          <w:sz w:val="28"/>
          <w:szCs w:val="28"/>
        </w:rPr>
        <w:t>企业名称（盖章）：</w:t>
      </w:r>
      <w:r>
        <w:rPr>
          <w:sz w:val="28"/>
          <w:szCs w:val="28"/>
        </w:rPr>
        <w:t xml:space="preserve"> </w:t>
      </w:r>
    </w:p>
    <w:p>
      <w:pPr>
        <w:widowControl/>
        <w:spacing w:line="360" w:lineRule="auto"/>
        <w:ind w:firstLine="5040" w:firstLineChars="1800"/>
        <w:rPr>
          <w:rFonts w:hAnsi="Times New Roman"/>
          <w:sz w:val="28"/>
          <w:szCs w:val="28"/>
        </w:rPr>
      </w:pPr>
      <w:r>
        <w:rPr>
          <w:rFonts w:hint="eastAsia"/>
          <w:sz w:val="28"/>
          <w:szCs w:val="28"/>
        </w:rPr>
        <w:t>日</w:t>
      </w:r>
      <w:r>
        <w:rPr>
          <w:sz w:val="28"/>
          <w:szCs w:val="28"/>
        </w:rPr>
        <w:t xml:space="preserve"> </w:t>
      </w:r>
      <w:r>
        <w:rPr>
          <w:rFonts w:hint="eastAsia"/>
          <w:sz w:val="28"/>
          <w:szCs w:val="28"/>
        </w:rPr>
        <w:t>期：</w:t>
      </w:r>
      <w:r>
        <w:rPr>
          <w:sz w:val="28"/>
          <w:szCs w:val="28"/>
        </w:rPr>
        <w:t xml:space="preserve"> </w:t>
      </w:r>
    </w:p>
    <w:p>
      <w:pPr>
        <w:widowControl/>
        <w:spacing w:line="360" w:lineRule="auto"/>
        <w:ind w:firstLine="560" w:firstLineChars="200"/>
        <w:rPr>
          <w:rFonts w:hAnsi="Times New Roman"/>
          <w:sz w:val="28"/>
          <w:szCs w:val="28"/>
        </w:rPr>
      </w:pPr>
    </w:p>
    <w:p>
      <w:pPr>
        <w:widowControl/>
        <w:spacing w:line="360" w:lineRule="auto"/>
        <w:ind w:firstLine="560" w:firstLineChars="200"/>
        <w:rPr>
          <w:rFonts w:hAnsi="Times New Roman"/>
          <w:sz w:val="28"/>
          <w:szCs w:val="28"/>
        </w:rPr>
      </w:pPr>
    </w:p>
    <w:p>
      <w:pPr>
        <w:pStyle w:val="14"/>
        <w:ind w:left="1540" w:right="1540"/>
      </w:pPr>
    </w:p>
    <w:p>
      <w:pPr>
        <w:pStyle w:val="14"/>
        <w:ind w:left="1540" w:right="1540"/>
      </w:pPr>
    </w:p>
    <w:p>
      <w:pPr>
        <w:pStyle w:val="14"/>
        <w:ind w:left="1540" w:right="1540"/>
      </w:pPr>
    </w:p>
    <w:p>
      <w:pPr>
        <w:pStyle w:val="14"/>
        <w:ind w:left="1540" w:right="1540"/>
      </w:pPr>
    </w:p>
    <w:p>
      <w:pPr>
        <w:pStyle w:val="14"/>
        <w:ind w:left="1540" w:right="1540"/>
      </w:pPr>
    </w:p>
    <w:p>
      <w:pPr>
        <w:pStyle w:val="14"/>
        <w:ind w:left="1540" w:right="1540"/>
      </w:pPr>
    </w:p>
    <w:p>
      <w:pPr>
        <w:pStyle w:val="14"/>
        <w:ind w:left="1540" w:right="1540"/>
      </w:pPr>
    </w:p>
    <w:p>
      <w:pPr>
        <w:pStyle w:val="14"/>
        <w:ind w:left="1540" w:right="1540"/>
      </w:pPr>
    </w:p>
    <w:p>
      <w:pPr>
        <w:pStyle w:val="14"/>
        <w:ind w:left="1540" w:right="1540"/>
      </w:pPr>
    </w:p>
    <w:p>
      <w:pPr>
        <w:pStyle w:val="14"/>
        <w:ind w:left="1540" w:right="1540"/>
      </w:pPr>
    </w:p>
    <w:p>
      <w:pPr>
        <w:pStyle w:val="14"/>
        <w:ind w:left="1540" w:right="1540"/>
      </w:pPr>
    </w:p>
    <w:p>
      <w:pPr>
        <w:pStyle w:val="14"/>
        <w:ind w:left="1540" w:right="1540"/>
      </w:pPr>
    </w:p>
    <w:p>
      <w:pPr>
        <w:pStyle w:val="14"/>
        <w:ind w:left="1540" w:right="1540"/>
      </w:pPr>
    </w:p>
    <w:p>
      <w:pPr>
        <w:pStyle w:val="14"/>
        <w:ind w:left="0" w:leftChars="0" w:right="1540"/>
        <w:rPr>
          <w:rFonts w:hint="eastAsia"/>
        </w:rPr>
      </w:pPr>
    </w:p>
    <w:p>
      <w:pPr>
        <w:widowControl/>
        <w:spacing w:line="360" w:lineRule="auto"/>
        <w:rPr>
          <w:color w:val="FF0000"/>
          <w:sz w:val="24"/>
          <w:szCs w:val="28"/>
        </w:rPr>
      </w:pPr>
      <w:r>
        <w:rPr>
          <w:rFonts w:hint="eastAsia"/>
          <w:color w:val="FF0000"/>
          <w:sz w:val="24"/>
          <w:szCs w:val="28"/>
        </w:rPr>
        <w:t>注：1、投标人如未提供此表作无效标处理！</w:t>
      </w:r>
    </w:p>
    <w:p>
      <w:pPr>
        <w:widowControl/>
        <w:spacing w:line="360" w:lineRule="auto"/>
        <w:rPr>
          <w:rFonts w:asciiTheme="minorEastAsia" w:hAnsiTheme="minorEastAsia" w:eastAsiaTheme="minorEastAsia"/>
        </w:rPr>
      </w:pPr>
      <w:r>
        <w:rPr>
          <w:rFonts w:hint="eastAsia"/>
          <w:color w:val="FF0000"/>
          <w:sz w:val="24"/>
          <w:szCs w:val="28"/>
        </w:rPr>
        <w:t>2、营业收入、资产总额填报上一年度数据，无上一年度数据的新成立企业可不填报。</w:t>
      </w:r>
    </w:p>
    <w:p>
      <w:pPr>
        <w:spacing w:line="360" w:lineRule="auto"/>
        <w:ind w:left="1338" w:leftChars="608" w:firstLine="122" w:firstLineChars="41"/>
        <w:jc w:val="center"/>
        <w:rPr>
          <w:sz w:val="30"/>
          <w:szCs w:val="30"/>
          <w:u w:val="single"/>
        </w:rPr>
      </w:pPr>
      <w:r>
        <w:rPr>
          <w:rFonts w:hint="eastAsia"/>
          <w:sz w:val="30"/>
          <w:szCs w:val="30"/>
          <w:u w:val="single"/>
        </w:rPr>
        <w:t>南通市海门区区域社会治理现代化指挥中心采购海门可视化平台和政务信息共享平台三级等保测评项目</w:t>
      </w:r>
    </w:p>
    <w:p>
      <w:pPr>
        <w:spacing w:line="360" w:lineRule="auto"/>
        <w:ind w:left="1338" w:leftChars="608" w:firstLine="114" w:firstLineChars="41"/>
        <w:jc w:val="center"/>
        <w:rPr>
          <w:sz w:val="28"/>
          <w:szCs w:val="28"/>
        </w:rPr>
      </w:pPr>
      <w:r>
        <w:rPr>
          <w:rFonts w:hint="eastAsia"/>
          <w:sz w:val="28"/>
          <w:szCs w:val="28"/>
        </w:rPr>
        <w:t>报价一览表</w:t>
      </w:r>
    </w:p>
    <w:p>
      <w:pPr>
        <w:spacing w:line="360" w:lineRule="auto"/>
        <w:rPr>
          <w:sz w:val="28"/>
          <w:szCs w:val="28"/>
        </w:rPr>
      </w:pPr>
      <w:r>
        <w:rPr>
          <w:rFonts w:hint="eastAsia"/>
          <w:sz w:val="28"/>
          <w:szCs w:val="28"/>
        </w:rPr>
        <w:t>投标单位：（公章）</w:t>
      </w:r>
    </w:p>
    <w:tbl>
      <w:tblPr>
        <w:tblStyle w:val="23"/>
        <w:tblW w:w="94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175"/>
        <w:gridCol w:w="1208"/>
        <w:gridCol w:w="1187"/>
        <w:gridCol w:w="1355"/>
        <w:gridCol w:w="1088"/>
        <w:gridCol w:w="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09" w:type="dxa"/>
            <w:vAlign w:val="center"/>
          </w:tcPr>
          <w:p>
            <w:pPr>
              <w:spacing w:line="276" w:lineRule="auto"/>
              <w:jc w:val="center"/>
              <w:rPr>
                <w:rFonts w:cs="仿宋"/>
                <w:b/>
                <w:sz w:val="24"/>
                <w:szCs w:val="24"/>
              </w:rPr>
            </w:pPr>
            <w:r>
              <w:rPr>
                <w:rFonts w:hint="eastAsia" w:cs="仿宋"/>
                <w:b/>
                <w:sz w:val="24"/>
                <w:szCs w:val="24"/>
              </w:rPr>
              <w:t>序号</w:t>
            </w:r>
          </w:p>
        </w:tc>
        <w:tc>
          <w:tcPr>
            <w:tcW w:w="3175" w:type="dxa"/>
            <w:vAlign w:val="center"/>
          </w:tcPr>
          <w:p>
            <w:pPr>
              <w:spacing w:line="276" w:lineRule="auto"/>
              <w:jc w:val="center"/>
              <w:rPr>
                <w:rFonts w:cs="仿宋"/>
                <w:b/>
                <w:sz w:val="24"/>
                <w:szCs w:val="24"/>
              </w:rPr>
            </w:pPr>
            <w:r>
              <w:rPr>
                <w:rFonts w:hint="eastAsia" w:cs="仿宋"/>
                <w:b/>
                <w:sz w:val="24"/>
                <w:szCs w:val="24"/>
              </w:rPr>
              <w:t>项目名称</w:t>
            </w:r>
          </w:p>
        </w:tc>
        <w:tc>
          <w:tcPr>
            <w:tcW w:w="1208" w:type="dxa"/>
            <w:vAlign w:val="center"/>
          </w:tcPr>
          <w:p>
            <w:pPr>
              <w:spacing w:line="276" w:lineRule="auto"/>
              <w:jc w:val="center"/>
              <w:rPr>
                <w:rFonts w:cs="仿宋"/>
                <w:b/>
                <w:sz w:val="24"/>
                <w:szCs w:val="24"/>
              </w:rPr>
            </w:pPr>
            <w:r>
              <w:rPr>
                <w:rFonts w:hint="eastAsia" w:cs="仿宋"/>
                <w:b/>
                <w:sz w:val="24"/>
                <w:szCs w:val="24"/>
              </w:rPr>
              <w:t>系统数量</w:t>
            </w:r>
          </w:p>
        </w:tc>
        <w:tc>
          <w:tcPr>
            <w:tcW w:w="1187" w:type="dxa"/>
            <w:vAlign w:val="center"/>
          </w:tcPr>
          <w:p>
            <w:pPr>
              <w:spacing w:line="276" w:lineRule="auto"/>
              <w:jc w:val="center"/>
              <w:rPr>
                <w:rFonts w:cs="仿宋"/>
                <w:b/>
                <w:sz w:val="24"/>
                <w:szCs w:val="24"/>
              </w:rPr>
            </w:pPr>
            <w:r>
              <w:rPr>
                <w:rFonts w:hint="eastAsia" w:cs="仿宋"/>
                <w:b/>
                <w:sz w:val="24"/>
                <w:szCs w:val="24"/>
              </w:rPr>
              <w:t>备案情况</w:t>
            </w:r>
          </w:p>
        </w:tc>
        <w:tc>
          <w:tcPr>
            <w:tcW w:w="1355" w:type="dxa"/>
            <w:vAlign w:val="center"/>
          </w:tcPr>
          <w:p>
            <w:pPr>
              <w:spacing w:line="276" w:lineRule="auto"/>
              <w:jc w:val="center"/>
              <w:rPr>
                <w:rFonts w:cs="仿宋"/>
                <w:b/>
                <w:sz w:val="24"/>
                <w:szCs w:val="24"/>
              </w:rPr>
            </w:pPr>
            <w:r>
              <w:rPr>
                <w:rFonts w:hint="eastAsia" w:cs="仿宋"/>
                <w:b/>
                <w:sz w:val="24"/>
                <w:szCs w:val="24"/>
              </w:rPr>
              <w:t>最高限价万元）</w:t>
            </w:r>
          </w:p>
        </w:tc>
        <w:tc>
          <w:tcPr>
            <w:tcW w:w="1088" w:type="dxa"/>
            <w:vAlign w:val="center"/>
          </w:tcPr>
          <w:p>
            <w:pPr>
              <w:spacing w:line="276" w:lineRule="auto"/>
              <w:jc w:val="center"/>
              <w:rPr>
                <w:rFonts w:cs="仿宋"/>
                <w:b/>
                <w:sz w:val="24"/>
                <w:szCs w:val="24"/>
              </w:rPr>
            </w:pPr>
            <w:r>
              <w:rPr>
                <w:rFonts w:hint="eastAsia" w:cs="仿宋"/>
                <w:b/>
                <w:sz w:val="24"/>
                <w:szCs w:val="24"/>
              </w:rPr>
              <w:t>投标报价（万元）</w:t>
            </w:r>
          </w:p>
        </w:tc>
        <w:tc>
          <w:tcPr>
            <w:tcW w:w="744" w:type="dxa"/>
            <w:vAlign w:val="center"/>
          </w:tcPr>
          <w:p>
            <w:pPr>
              <w:spacing w:line="276" w:lineRule="auto"/>
              <w:jc w:val="center"/>
              <w:rPr>
                <w:rFonts w:cs="仿宋"/>
                <w:b/>
                <w:sz w:val="24"/>
                <w:szCs w:val="24"/>
              </w:rPr>
            </w:pPr>
            <w:r>
              <w:rPr>
                <w:rFonts w:hint="eastAsia" w:cs="仿宋"/>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09" w:type="dxa"/>
            <w:vAlign w:val="center"/>
          </w:tcPr>
          <w:p>
            <w:pPr>
              <w:spacing w:line="276" w:lineRule="auto"/>
              <w:jc w:val="center"/>
              <w:rPr>
                <w:rFonts w:cs="仿宋"/>
                <w:sz w:val="24"/>
                <w:szCs w:val="24"/>
              </w:rPr>
            </w:pPr>
            <w:r>
              <w:rPr>
                <w:rFonts w:hint="eastAsia" w:cs="仿宋"/>
                <w:sz w:val="24"/>
                <w:szCs w:val="24"/>
              </w:rPr>
              <w:t>1</w:t>
            </w:r>
          </w:p>
        </w:tc>
        <w:tc>
          <w:tcPr>
            <w:tcW w:w="3175" w:type="dxa"/>
            <w:vAlign w:val="center"/>
          </w:tcPr>
          <w:p>
            <w:pPr>
              <w:spacing w:line="276" w:lineRule="auto"/>
              <w:jc w:val="center"/>
              <w:rPr>
                <w:rFonts w:cs="仿宋"/>
                <w:sz w:val="24"/>
                <w:szCs w:val="24"/>
              </w:rPr>
            </w:pPr>
            <w:r>
              <w:rPr>
                <w:rFonts w:hint="eastAsia" w:cs="仿宋"/>
                <w:sz w:val="24"/>
                <w:szCs w:val="24"/>
              </w:rPr>
              <w:t>南通市海门区区域社会治理现代化指挥中心采购海门</w:t>
            </w:r>
            <w:r>
              <w:rPr>
                <w:rFonts w:hint="eastAsia" w:cs="仿宋"/>
                <w:sz w:val="24"/>
                <w:szCs w:val="24"/>
                <w:lang w:val="en-US"/>
              </w:rPr>
              <w:t>区</w:t>
            </w:r>
            <w:r>
              <w:rPr>
                <w:rFonts w:hint="eastAsia" w:cs="仿宋"/>
                <w:sz w:val="24"/>
                <w:szCs w:val="24"/>
              </w:rPr>
              <w:t>可视化</w:t>
            </w:r>
            <w:r>
              <w:rPr>
                <w:rFonts w:hint="eastAsia" w:cs="仿宋"/>
                <w:sz w:val="24"/>
                <w:szCs w:val="24"/>
                <w:lang w:val="en-US"/>
              </w:rPr>
              <w:t>联动指挥</w:t>
            </w:r>
            <w:r>
              <w:rPr>
                <w:rFonts w:hint="eastAsia" w:cs="仿宋"/>
                <w:sz w:val="24"/>
                <w:szCs w:val="24"/>
              </w:rPr>
              <w:t>平台和</w:t>
            </w:r>
            <w:r>
              <w:rPr>
                <w:rFonts w:hint="eastAsia" w:cs="仿宋"/>
                <w:sz w:val="24"/>
                <w:szCs w:val="24"/>
                <w:lang w:val="en-US"/>
              </w:rPr>
              <w:t>海门区</w:t>
            </w:r>
            <w:r>
              <w:rPr>
                <w:rFonts w:hint="eastAsia" w:cs="仿宋"/>
                <w:sz w:val="24"/>
                <w:szCs w:val="24"/>
              </w:rPr>
              <w:t>政务信息</w:t>
            </w:r>
            <w:r>
              <w:rPr>
                <w:rFonts w:hint="eastAsia" w:cs="仿宋"/>
                <w:sz w:val="24"/>
                <w:szCs w:val="24"/>
                <w:lang w:val="en-US"/>
              </w:rPr>
              <w:t>资源</w:t>
            </w:r>
            <w:r>
              <w:rPr>
                <w:rFonts w:hint="eastAsia" w:cs="仿宋"/>
                <w:sz w:val="24"/>
                <w:szCs w:val="24"/>
              </w:rPr>
              <w:t>共享平台三级等保测评项目</w:t>
            </w:r>
          </w:p>
        </w:tc>
        <w:tc>
          <w:tcPr>
            <w:tcW w:w="1208" w:type="dxa"/>
            <w:vAlign w:val="center"/>
          </w:tcPr>
          <w:p>
            <w:pPr>
              <w:spacing w:line="276" w:lineRule="auto"/>
              <w:jc w:val="center"/>
              <w:rPr>
                <w:rFonts w:cs="仿宋"/>
                <w:sz w:val="24"/>
                <w:szCs w:val="24"/>
              </w:rPr>
            </w:pPr>
            <w:r>
              <w:rPr>
                <w:rFonts w:hint="eastAsia" w:cs="仿宋"/>
                <w:sz w:val="24"/>
                <w:szCs w:val="24"/>
              </w:rPr>
              <w:t>2个</w:t>
            </w:r>
          </w:p>
        </w:tc>
        <w:tc>
          <w:tcPr>
            <w:tcW w:w="1187" w:type="dxa"/>
            <w:vAlign w:val="center"/>
          </w:tcPr>
          <w:p>
            <w:pPr>
              <w:spacing w:line="276" w:lineRule="auto"/>
              <w:jc w:val="center"/>
              <w:rPr>
                <w:rFonts w:cs="仿宋"/>
                <w:sz w:val="24"/>
                <w:szCs w:val="24"/>
              </w:rPr>
            </w:pPr>
            <w:r>
              <w:rPr>
                <w:rFonts w:hint="eastAsia" w:cs="仿宋"/>
                <w:sz w:val="24"/>
                <w:szCs w:val="24"/>
              </w:rPr>
              <w:t>三级</w:t>
            </w:r>
          </w:p>
        </w:tc>
        <w:tc>
          <w:tcPr>
            <w:tcW w:w="1355" w:type="dxa"/>
            <w:vAlign w:val="center"/>
          </w:tcPr>
          <w:p>
            <w:pPr>
              <w:spacing w:line="276" w:lineRule="auto"/>
              <w:jc w:val="center"/>
              <w:rPr>
                <w:rFonts w:cs="仿宋"/>
                <w:sz w:val="24"/>
                <w:szCs w:val="24"/>
              </w:rPr>
            </w:pPr>
            <w:r>
              <w:rPr>
                <w:rFonts w:cs="仿宋"/>
                <w:sz w:val="24"/>
                <w:szCs w:val="24"/>
              </w:rPr>
              <w:t>10</w:t>
            </w:r>
          </w:p>
        </w:tc>
        <w:tc>
          <w:tcPr>
            <w:tcW w:w="1088" w:type="dxa"/>
            <w:vAlign w:val="center"/>
          </w:tcPr>
          <w:p>
            <w:pPr>
              <w:spacing w:line="276" w:lineRule="auto"/>
              <w:jc w:val="center"/>
              <w:rPr>
                <w:rFonts w:cs="仿宋"/>
                <w:sz w:val="24"/>
                <w:szCs w:val="24"/>
              </w:rPr>
            </w:pPr>
          </w:p>
        </w:tc>
        <w:tc>
          <w:tcPr>
            <w:tcW w:w="744" w:type="dxa"/>
            <w:vAlign w:val="center"/>
          </w:tcPr>
          <w:p>
            <w:pPr>
              <w:spacing w:line="276" w:lineRule="auto"/>
              <w:jc w:val="center"/>
              <w:rPr>
                <w:rFonts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9466" w:type="dxa"/>
            <w:gridSpan w:val="7"/>
            <w:vAlign w:val="center"/>
          </w:tcPr>
          <w:p>
            <w:pPr>
              <w:spacing w:line="276" w:lineRule="auto"/>
              <w:rPr>
                <w:rFonts w:cs="仿宋"/>
                <w:sz w:val="24"/>
                <w:szCs w:val="24"/>
              </w:rPr>
            </w:pPr>
            <w:r>
              <w:rPr>
                <w:rFonts w:hint="eastAsia" w:cs="仿宋"/>
                <w:b/>
                <w:bCs/>
                <w:sz w:val="28"/>
                <w:szCs w:val="28"/>
              </w:rPr>
              <w:t>以上合计人民币（大写）：</w:t>
            </w:r>
          </w:p>
        </w:tc>
      </w:tr>
    </w:tbl>
    <w:p>
      <w:pPr>
        <w:widowControl/>
        <w:spacing w:before="60" w:after="60" w:line="360" w:lineRule="auto"/>
        <w:ind w:right="60"/>
        <w:rPr>
          <w:sz w:val="24"/>
          <w:szCs w:val="24"/>
        </w:rPr>
      </w:pPr>
      <w:r>
        <w:rPr>
          <w:rFonts w:hint="eastAsia"/>
          <w:sz w:val="24"/>
          <w:szCs w:val="24"/>
        </w:rPr>
        <w:t xml:space="preserve">                        </w:t>
      </w:r>
    </w:p>
    <w:p>
      <w:pPr>
        <w:widowControl/>
        <w:topLinePunct/>
        <w:snapToGrid w:val="0"/>
        <w:spacing w:before="4"/>
        <w:ind w:right="560"/>
        <w:jc w:val="center"/>
        <w:rPr>
          <w:b/>
          <w:bCs/>
          <w:sz w:val="28"/>
          <w:szCs w:val="28"/>
        </w:rPr>
      </w:pPr>
      <w:r>
        <w:rPr>
          <w:rFonts w:hint="eastAsia"/>
          <w:bCs/>
          <w:sz w:val="28"/>
          <w:szCs w:val="28"/>
        </w:rPr>
        <w:t xml:space="preserve">                  法定代表人（授权代表）签名</w:t>
      </w:r>
      <w:r>
        <w:rPr>
          <w:rFonts w:hint="eastAsia"/>
          <w:b/>
          <w:bCs/>
          <w:sz w:val="28"/>
          <w:szCs w:val="28"/>
        </w:rPr>
        <w:t>：</w:t>
      </w:r>
    </w:p>
    <w:p>
      <w:pPr>
        <w:pStyle w:val="22"/>
        <w:ind w:right="560" w:firstLine="4200" w:firstLineChars="2000"/>
      </w:pPr>
    </w:p>
    <w:p>
      <w:pPr>
        <w:pStyle w:val="22"/>
        <w:ind w:right="560" w:firstLine="5600" w:firstLineChars="2000"/>
        <w:rPr>
          <w:bCs/>
          <w:sz w:val="28"/>
          <w:szCs w:val="28"/>
        </w:rPr>
      </w:pPr>
      <w:r>
        <w:rPr>
          <w:rFonts w:hint="eastAsia"/>
          <w:bCs/>
          <w:sz w:val="28"/>
          <w:szCs w:val="28"/>
        </w:rPr>
        <w:t>年    月    日</w:t>
      </w:r>
    </w:p>
    <w:p>
      <w:pPr>
        <w:pStyle w:val="4"/>
        <w:ind w:firstLine="0"/>
      </w:pPr>
    </w:p>
    <w:p>
      <w:pPr>
        <w:spacing w:line="360" w:lineRule="auto"/>
        <w:ind w:firstLine="422" w:firstLineChars="150"/>
        <w:rPr>
          <w:b/>
          <w:sz w:val="28"/>
          <w:szCs w:val="28"/>
        </w:rPr>
      </w:pPr>
      <w:r>
        <w:rPr>
          <w:rFonts w:hint="eastAsia"/>
          <w:b/>
          <w:sz w:val="28"/>
          <w:szCs w:val="28"/>
        </w:rPr>
        <w:t>以下内容为开标时填写：</w:t>
      </w:r>
    </w:p>
    <w:p>
      <w:pPr>
        <w:pStyle w:val="4"/>
      </w:pPr>
    </w:p>
    <w:tbl>
      <w:tblPr>
        <w:tblStyle w:val="23"/>
        <w:tblW w:w="10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596"/>
        <w:gridCol w:w="2554"/>
        <w:gridCol w:w="1208"/>
        <w:gridCol w:w="1187"/>
        <w:gridCol w:w="1857"/>
        <w:gridCol w:w="1330"/>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34" w:type="dxa"/>
            <w:vAlign w:val="center"/>
          </w:tcPr>
          <w:p>
            <w:pPr>
              <w:spacing w:line="276" w:lineRule="auto"/>
              <w:jc w:val="center"/>
              <w:rPr>
                <w:rFonts w:cs="仿宋"/>
                <w:b/>
                <w:sz w:val="24"/>
                <w:szCs w:val="24"/>
              </w:rPr>
            </w:pPr>
            <w:r>
              <w:rPr>
                <w:rFonts w:hint="eastAsia" w:cs="仿宋"/>
                <w:b/>
                <w:sz w:val="24"/>
                <w:szCs w:val="24"/>
              </w:rPr>
              <w:t>序号</w:t>
            </w:r>
          </w:p>
        </w:tc>
        <w:tc>
          <w:tcPr>
            <w:tcW w:w="3150" w:type="dxa"/>
            <w:gridSpan w:val="2"/>
            <w:vAlign w:val="center"/>
          </w:tcPr>
          <w:p>
            <w:pPr>
              <w:spacing w:line="276" w:lineRule="auto"/>
              <w:jc w:val="center"/>
              <w:rPr>
                <w:rFonts w:cs="仿宋"/>
                <w:b/>
                <w:sz w:val="24"/>
                <w:szCs w:val="24"/>
              </w:rPr>
            </w:pPr>
            <w:r>
              <w:rPr>
                <w:rFonts w:hint="eastAsia" w:cs="仿宋"/>
                <w:b/>
                <w:sz w:val="24"/>
                <w:szCs w:val="24"/>
              </w:rPr>
              <w:t>项目名称</w:t>
            </w:r>
          </w:p>
        </w:tc>
        <w:tc>
          <w:tcPr>
            <w:tcW w:w="1208" w:type="dxa"/>
            <w:vAlign w:val="center"/>
          </w:tcPr>
          <w:p>
            <w:pPr>
              <w:spacing w:line="276" w:lineRule="auto"/>
              <w:jc w:val="center"/>
              <w:rPr>
                <w:rFonts w:cs="仿宋"/>
                <w:b/>
                <w:sz w:val="24"/>
                <w:szCs w:val="24"/>
              </w:rPr>
            </w:pPr>
            <w:r>
              <w:rPr>
                <w:rFonts w:hint="eastAsia" w:cs="仿宋"/>
                <w:b/>
                <w:sz w:val="24"/>
                <w:szCs w:val="24"/>
              </w:rPr>
              <w:t>系统数量</w:t>
            </w:r>
          </w:p>
        </w:tc>
        <w:tc>
          <w:tcPr>
            <w:tcW w:w="1187" w:type="dxa"/>
            <w:vAlign w:val="center"/>
          </w:tcPr>
          <w:p>
            <w:pPr>
              <w:spacing w:line="276" w:lineRule="auto"/>
              <w:jc w:val="center"/>
              <w:rPr>
                <w:rFonts w:cs="仿宋"/>
                <w:b/>
                <w:sz w:val="24"/>
                <w:szCs w:val="24"/>
              </w:rPr>
            </w:pPr>
            <w:r>
              <w:rPr>
                <w:rFonts w:hint="eastAsia" w:cs="仿宋"/>
                <w:b/>
                <w:sz w:val="24"/>
                <w:szCs w:val="24"/>
              </w:rPr>
              <w:t>备案情况</w:t>
            </w:r>
          </w:p>
        </w:tc>
        <w:tc>
          <w:tcPr>
            <w:tcW w:w="1857" w:type="dxa"/>
            <w:vAlign w:val="center"/>
          </w:tcPr>
          <w:p>
            <w:pPr>
              <w:spacing w:line="276" w:lineRule="auto"/>
              <w:jc w:val="center"/>
              <w:rPr>
                <w:rFonts w:cs="仿宋"/>
                <w:b/>
                <w:sz w:val="24"/>
                <w:szCs w:val="24"/>
              </w:rPr>
            </w:pPr>
            <w:r>
              <w:rPr>
                <w:rFonts w:hint="eastAsia" w:cs="仿宋"/>
                <w:b/>
                <w:sz w:val="24"/>
                <w:szCs w:val="24"/>
              </w:rPr>
              <w:t>最高限价（万元）</w:t>
            </w:r>
          </w:p>
        </w:tc>
        <w:tc>
          <w:tcPr>
            <w:tcW w:w="1330" w:type="dxa"/>
          </w:tcPr>
          <w:p>
            <w:pPr>
              <w:spacing w:line="276" w:lineRule="auto"/>
              <w:jc w:val="center"/>
              <w:rPr>
                <w:rFonts w:cs="仿宋"/>
                <w:b/>
                <w:sz w:val="24"/>
                <w:szCs w:val="24"/>
              </w:rPr>
            </w:pPr>
            <w:r>
              <w:rPr>
                <w:rFonts w:hint="eastAsia" w:cs="仿宋"/>
                <w:b/>
                <w:sz w:val="24"/>
                <w:szCs w:val="24"/>
              </w:rPr>
              <w:t>现场最终报价（万元）</w:t>
            </w:r>
          </w:p>
        </w:tc>
        <w:tc>
          <w:tcPr>
            <w:tcW w:w="1330" w:type="dxa"/>
            <w:vAlign w:val="center"/>
          </w:tcPr>
          <w:p>
            <w:pPr>
              <w:spacing w:line="276" w:lineRule="auto"/>
              <w:jc w:val="center"/>
              <w:rPr>
                <w:rFonts w:cs="仿宋"/>
                <w:b/>
                <w:sz w:val="24"/>
                <w:szCs w:val="24"/>
              </w:rPr>
            </w:pPr>
            <w:r>
              <w:rPr>
                <w:rFonts w:hint="eastAsia" w:cs="仿宋"/>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34" w:type="dxa"/>
            <w:vAlign w:val="center"/>
          </w:tcPr>
          <w:p>
            <w:pPr>
              <w:spacing w:line="276" w:lineRule="auto"/>
              <w:jc w:val="center"/>
              <w:rPr>
                <w:rFonts w:cs="仿宋"/>
                <w:sz w:val="24"/>
                <w:szCs w:val="24"/>
              </w:rPr>
            </w:pPr>
            <w:r>
              <w:rPr>
                <w:rFonts w:hint="eastAsia" w:cs="仿宋"/>
                <w:sz w:val="24"/>
                <w:szCs w:val="24"/>
              </w:rPr>
              <w:t>1</w:t>
            </w:r>
          </w:p>
        </w:tc>
        <w:tc>
          <w:tcPr>
            <w:tcW w:w="3150" w:type="dxa"/>
            <w:gridSpan w:val="2"/>
            <w:vAlign w:val="center"/>
          </w:tcPr>
          <w:p>
            <w:pPr>
              <w:spacing w:before="31" w:line="360" w:lineRule="auto"/>
              <w:rPr>
                <w:rFonts w:cs="仿宋"/>
                <w:sz w:val="24"/>
                <w:szCs w:val="24"/>
              </w:rPr>
            </w:pPr>
            <w:r>
              <w:rPr>
                <w:rFonts w:hint="eastAsia" w:cs="仿宋"/>
                <w:sz w:val="24"/>
                <w:szCs w:val="24"/>
              </w:rPr>
              <w:t>南通市海门区区域社会治理现代化指挥中心采购海门</w:t>
            </w:r>
            <w:r>
              <w:rPr>
                <w:rFonts w:hint="eastAsia" w:cs="仿宋"/>
                <w:sz w:val="24"/>
                <w:szCs w:val="24"/>
                <w:lang w:val="en-US"/>
              </w:rPr>
              <w:t>区</w:t>
            </w:r>
            <w:r>
              <w:rPr>
                <w:rFonts w:hint="eastAsia" w:cs="仿宋"/>
                <w:sz w:val="24"/>
                <w:szCs w:val="24"/>
              </w:rPr>
              <w:t>可视化</w:t>
            </w:r>
            <w:r>
              <w:rPr>
                <w:rFonts w:hint="eastAsia" w:cs="仿宋"/>
                <w:sz w:val="24"/>
                <w:szCs w:val="24"/>
                <w:lang w:val="en-US"/>
              </w:rPr>
              <w:t>联动指挥</w:t>
            </w:r>
            <w:r>
              <w:rPr>
                <w:rFonts w:hint="eastAsia" w:cs="仿宋"/>
                <w:sz w:val="24"/>
                <w:szCs w:val="24"/>
              </w:rPr>
              <w:t>平台和</w:t>
            </w:r>
            <w:r>
              <w:rPr>
                <w:rFonts w:hint="eastAsia" w:cs="仿宋"/>
                <w:sz w:val="24"/>
                <w:szCs w:val="24"/>
                <w:lang w:val="en-US"/>
              </w:rPr>
              <w:t>海门区</w:t>
            </w:r>
            <w:r>
              <w:rPr>
                <w:rFonts w:hint="eastAsia" w:cs="仿宋"/>
                <w:sz w:val="24"/>
                <w:szCs w:val="24"/>
              </w:rPr>
              <w:t>政务信息</w:t>
            </w:r>
            <w:r>
              <w:rPr>
                <w:rFonts w:hint="eastAsia" w:cs="仿宋"/>
                <w:sz w:val="24"/>
                <w:szCs w:val="24"/>
                <w:lang w:val="en-US"/>
              </w:rPr>
              <w:t>资源</w:t>
            </w:r>
            <w:r>
              <w:rPr>
                <w:rFonts w:hint="eastAsia" w:cs="仿宋"/>
                <w:sz w:val="24"/>
                <w:szCs w:val="24"/>
              </w:rPr>
              <w:t>共享平台三级等保测评项目</w:t>
            </w:r>
          </w:p>
        </w:tc>
        <w:tc>
          <w:tcPr>
            <w:tcW w:w="1208" w:type="dxa"/>
            <w:vAlign w:val="center"/>
          </w:tcPr>
          <w:p>
            <w:pPr>
              <w:spacing w:line="276" w:lineRule="auto"/>
              <w:jc w:val="center"/>
              <w:rPr>
                <w:rFonts w:cs="仿宋"/>
                <w:sz w:val="24"/>
                <w:szCs w:val="24"/>
              </w:rPr>
            </w:pPr>
            <w:r>
              <w:rPr>
                <w:rFonts w:hint="eastAsia" w:cs="仿宋"/>
                <w:sz w:val="24"/>
                <w:szCs w:val="24"/>
              </w:rPr>
              <w:t>2个</w:t>
            </w:r>
          </w:p>
        </w:tc>
        <w:tc>
          <w:tcPr>
            <w:tcW w:w="1187" w:type="dxa"/>
            <w:vAlign w:val="center"/>
          </w:tcPr>
          <w:p>
            <w:pPr>
              <w:spacing w:line="276" w:lineRule="auto"/>
              <w:jc w:val="center"/>
              <w:rPr>
                <w:rFonts w:cs="仿宋"/>
                <w:sz w:val="24"/>
                <w:szCs w:val="24"/>
              </w:rPr>
            </w:pPr>
            <w:r>
              <w:rPr>
                <w:rFonts w:hint="eastAsia" w:cs="仿宋"/>
                <w:sz w:val="24"/>
                <w:szCs w:val="24"/>
              </w:rPr>
              <w:t>三级</w:t>
            </w:r>
          </w:p>
        </w:tc>
        <w:tc>
          <w:tcPr>
            <w:tcW w:w="1857" w:type="dxa"/>
            <w:vAlign w:val="center"/>
          </w:tcPr>
          <w:p>
            <w:pPr>
              <w:spacing w:line="276" w:lineRule="auto"/>
              <w:jc w:val="center"/>
              <w:rPr>
                <w:rFonts w:cs="仿宋"/>
                <w:sz w:val="24"/>
                <w:szCs w:val="24"/>
              </w:rPr>
            </w:pPr>
            <w:r>
              <w:rPr>
                <w:rFonts w:hint="eastAsia" w:cs="仿宋"/>
                <w:sz w:val="24"/>
                <w:szCs w:val="24"/>
              </w:rPr>
              <w:t>1</w:t>
            </w:r>
            <w:r>
              <w:rPr>
                <w:rFonts w:cs="仿宋"/>
                <w:sz w:val="24"/>
                <w:szCs w:val="24"/>
              </w:rPr>
              <w:t>0</w:t>
            </w:r>
          </w:p>
        </w:tc>
        <w:tc>
          <w:tcPr>
            <w:tcW w:w="1330" w:type="dxa"/>
          </w:tcPr>
          <w:p>
            <w:pPr>
              <w:spacing w:line="276" w:lineRule="auto"/>
              <w:jc w:val="center"/>
              <w:rPr>
                <w:rFonts w:cs="仿宋"/>
                <w:sz w:val="24"/>
                <w:szCs w:val="24"/>
              </w:rPr>
            </w:pPr>
          </w:p>
        </w:tc>
        <w:tc>
          <w:tcPr>
            <w:tcW w:w="1330" w:type="dxa"/>
            <w:vAlign w:val="center"/>
          </w:tcPr>
          <w:p>
            <w:pPr>
              <w:spacing w:line="276" w:lineRule="auto"/>
              <w:jc w:val="center"/>
              <w:rPr>
                <w:rFonts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330" w:type="dxa"/>
            <w:gridSpan w:val="2"/>
          </w:tcPr>
          <w:p>
            <w:pPr>
              <w:spacing w:line="276" w:lineRule="auto"/>
              <w:rPr>
                <w:rFonts w:cs="仿宋"/>
                <w:b/>
                <w:sz w:val="24"/>
                <w:szCs w:val="24"/>
              </w:rPr>
            </w:pPr>
          </w:p>
        </w:tc>
        <w:tc>
          <w:tcPr>
            <w:tcW w:w="9466" w:type="dxa"/>
            <w:gridSpan w:val="6"/>
            <w:vAlign w:val="center"/>
          </w:tcPr>
          <w:p>
            <w:pPr>
              <w:spacing w:line="276" w:lineRule="auto"/>
              <w:rPr>
                <w:rFonts w:cs="仿宋"/>
                <w:b/>
                <w:sz w:val="24"/>
                <w:szCs w:val="24"/>
              </w:rPr>
            </w:pPr>
            <w:r>
              <w:rPr>
                <w:rFonts w:hint="eastAsia" w:cs="仿宋"/>
                <w:b/>
                <w:sz w:val="24"/>
                <w:szCs w:val="24"/>
              </w:rPr>
              <w:t>大写：</w:t>
            </w:r>
          </w:p>
          <w:p>
            <w:pPr>
              <w:pStyle w:val="4"/>
            </w:pPr>
          </w:p>
          <w:p>
            <w:pPr>
              <w:spacing w:line="276" w:lineRule="auto"/>
            </w:pPr>
            <w:r>
              <w:rPr>
                <w:rFonts w:hint="eastAsia" w:cs="仿宋"/>
                <w:b/>
                <w:sz w:val="24"/>
                <w:szCs w:val="24"/>
              </w:rPr>
              <w:t>小写：</w:t>
            </w:r>
          </w:p>
        </w:tc>
      </w:tr>
    </w:tbl>
    <w:p>
      <w:pPr>
        <w:widowControl/>
        <w:topLinePunct/>
        <w:snapToGrid w:val="0"/>
        <w:spacing w:before="4"/>
        <w:ind w:right="560"/>
        <w:rPr>
          <w:bCs/>
          <w:sz w:val="28"/>
          <w:szCs w:val="28"/>
        </w:rPr>
      </w:pPr>
    </w:p>
    <w:p>
      <w:pPr>
        <w:widowControl/>
        <w:topLinePunct/>
        <w:snapToGrid w:val="0"/>
        <w:spacing w:before="4"/>
        <w:ind w:right="560"/>
        <w:jc w:val="center"/>
        <w:rPr>
          <w:b/>
          <w:bCs/>
          <w:sz w:val="28"/>
          <w:szCs w:val="28"/>
        </w:rPr>
      </w:pPr>
      <w:r>
        <w:rPr>
          <w:rFonts w:hint="eastAsia"/>
          <w:bCs/>
          <w:sz w:val="28"/>
          <w:szCs w:val="28"/>
        </w:rPr>
        <w:t xml:space="preserve">                     签字</w:t>
      </w:r>
      <w:r>
        <w:rPr>
          <w:rFonts w:hint="eastAsia"/>
          <w:b/>
          <w:bCs/>
          <w:sz w:val="28"/>
          <w:szCs w:val="28"/>
        </w:rPr>
        <w:t>：</w:t>
      </w:r>
    </w:p>
    <w:p>
      <w:pPr>
        <w:widowControl/>
        <w:topLinePunct/>
        <w:snapToGrid w:val="0"/>
        <w:spacing w:before="4"/>
        <w:ind w:right="560"/>
        <w:jc w:val="center"/>
        <w:rPr>
          <w:rFonts w:asciiTheme="minorEastAsia" w:hAnsiTheme="minorEastAsia" w:eastAsiaTheme="minorEastAsia"/>
          <w:lang w:val="en-US"/>
        </w:rPr>
      </w:pPr>
      <w:r>
        <w:t xml:space="preserve">                                  </w:t>
      </w:r>
      <w:r>
        <w:rPr>
          <w:bCs/>
          <w:sz w:val="28"/>
          <w:szCs w:val="28"/>
        </w:rPr>
        <w:t xml:space="preserve"> </w:t>
      </w:r>
      <w:r>
        <w:rPr>
          <w:rFonts w:hint="eastAsia"/>
          <w:bCs/>
          <w:sz w:val="28"/>
          <w:szCs w:val="28"/>
        </w:rPr>
        <w:t xml:space="preserve">          日期：    年    月    日</w:t>
      </w:r>
    </w:p>
    <w:sectPr>
      <w:footerReference r:id="rId5" w:type="default"/>
      <w:pgSz w:w="11910" w:h="16840"/>
      <w:pgMar w:top="1480" w:right="860" w:bottom="1120" w:left="660" w:header="0" w:footer="93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3198495</wp:posOffset>
              </wp:positionH>
              <wp:positionV relativeFrom="page">
                <wp:posOffset>9957435</wp:posOffset>
              </wp:positionV>
              <wp:extent cx="1164590" cy="174625"/>
              <wp:effectExtent l="0" t="0" r="0" b="0"/>
              <wp:wrapNone/>
              <wp:docPr id="2" name="文本框 1"/>
              <wp:cNvGraphicFramePr/>
              <a:graphic xmlns:a="http://schemas.openxmlformats.org/drawingml/2006/main">
                <a:graphicData uri="http://schemas.microsoft.com/office/word/2010/wordprocessingShape">
                  <wps:wsp>
                    <wps:cNvSpPr txBox="1"/>
                    <wps:spPr>
                      <a:xfrm>
                        <a:off x="0" y="0"/>
                        <a:ext cx="1164590" cy="174625"/>
                      </a:xfrm>
                      <a:prstGeom prst="rect">
                        <a:avLst/>
                      </a:prstGeom>
                      <a:noFill/>
                      <a:ln>
                        <a:noFill/>
                      </a:ln>
                    </wps:spPr>
                    <wps:txbx>
                      <w:txbxContent>
                        <w:p>
                          <w:pPr>
                            <w:pStyle w:val="11"/>
                            <w:spacing w:line="261" w:lineRule="exact"/>
                            <w:ind w:left="20"/>
                          </w:pPr>
                          <w:r>
                            <w:t xml:space="preserve">第 </w:t>
                          </w:r>
                          <w:r>
                            <w:fldChar w:fldCharType="begin"/>
                          </w:r>
                          <w:r>
                            <w:rPr>
                              <w:rFonts w:ascii="Calibri" w:eastAsia="Calibri"/>
                            </w:rPr>
                            <w:instrText xml:space="preserve"> PAGE </w:instrText>
                          </w:r>
                          <w:r>
                            <w:fldChar w:fldCharType="separate"/>
                          </w:r>
                          <w:r>
                            <w:rPr>
                              <w:rFonts w:ascii="Calibri" w:eastAsia="Calibri"/>
                            </w:rPr>
                            <w:t>8</w:t>
                          </w:r>
                          <w:r>
                            <w:fldChar w:fldCharType="end"/>
                          </w:r>
                          <w:r>
                            <w:rPr>
                              <w:rFonts w:ascii="Calibri" w:eastAsia="Calibri"/>
                            </w:rPr>
                            <w:t xml:space="preserve"> </w:t>
                          </w:r>
                          <w:r>
                            <w:t xml:space="preserve">页 共 </w:t>
                          </w:r>
                          <w:r>
                            <w:rPr>
                              <w:rFonts w:ascii="Calibri" w:eastAsia="Calibri"/>
                            </w:rPr>
                            <w:t xml:space="preserve">18 </w:t>
                          </w:r>
                          <w:r>
                            <w:t>页</w:t>
                          </w:r>
                        </w:p>
                      </w:txbxContent>
                    </wps:txbx>
                    <wps:bodyPr lIns="0" tIns="0" rIns="0" bIns="0" upright="1"/>
                  </wps:wsp>
                </a:graphicData>
              </a:graphic>
            </wp:anchor>
          </w:drawing>
        </mc:Choice>
        <mc:Fallback>
          <w:pict>
            <v:shape id="文本框 1" o:spid="_x0000_s1026" o:spt="202" type="#_x0000_t202" style="position:absolute;left:0pt;margin-left:251.85pt;margin-top:784.05pt;height:13.75pt;width:91.7pt;mso-position-horizontal-relative:page;mso-position-vertical-relative:page;z-index:-251657216;mso-width-relative:page;mso-height-relative:page;" filled="f" stroked="f" coordsize="21600,21600" o:gfxdata="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DGvfSHbAAAADQEAAA8AAAAAAAAAAQAgAAAAIgAAAGRycy9kb3ducmV2LnhtbFBL&#10;AQIUABQAAAAIAIdO4kBxFOoCugEAAHIDAAAOAAAAAAAAAAEAIAAAACoBAABkcnMvZTJvRG9jLnht&#10;bFBLBQYAAAAABgAGAFkBAABWBQAAAAA=&#10;">
              <v:fill on="f" focussize="0,0"/>
              <v:stroke on="f"/>
              <v:imagedata o:title=""/>
              <o:lock v:ext="edit" aspectratio="f"/>
              <v:textbox inset="0mm,0mm,0mm,0mm">
                <w:txbxContent>
                  <w:p>
                    <w:pPr>
                      <w:pStyle w:val="11"/>
                      <w:spacing w:line="261" w:lineRule="exact"/>
                      <w:ind w:left="20"/>
                    </w:pPr>
                    <w:r>
                      <w:t xml:space="preserve">第 </w:t>
                    </w:r>
                    <w:r>
                      <w:fldChar w:fldCharType="begin"/>
                    </w:r>
                    <w:r>
                      <w:rPr>
                        <w:rFonts w:ascii="Calibri" w:eastAsia="Calibri"/>
                      </w:rPr>
                      <w:instrText xml:space="preserve"> PAGE </w:instrText>
                    </w:r>
                    <w:r>
                      <w:fldChar w:fldCharType="separate"/>
                    </w:r>
                    <w:r>
                      <w:rPr>
                        <w:rFonts w:ascii="Calibri" w:eastAsia="Calibri"/>
                      </w:rPr>
                      <w:t>8</w:t>
                    </w:r>
                    <w:r>
                      <w:fldChar w:fldCharType="end"/>
                    </w:r>
                    <w:r>
                      <w:rPr>
                        <w:rFonts w:ascii="Calibri" w:eastAsia="Calibri"/>
                      </w:rPr>
                      <w:t xml:space="preserve"> </w:t>
                    </w:r>
                    <w:r>
                      <w:t xml:space="preserve">页 共 </w:t>
                    </w:r>
                    <w:r>
                      <w:rPr>
                        <w:rFonts w:ascii="Calibri" w:eastAsia="Calibri"/>
                      </w:rPr>
                      <w:t xml:space="preserve">18 </w:t>
                    </w:r>
                    <w: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lang w:val="en-US"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21</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pPr>
                      <w:pStyle w:val="1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21</w:t>
                    </w:r>
                    <w:r>
                      <w:fldChar w:fldCharType="end"/>
                    </w:r>
                    <w:r>
                      <w:rPr>
                        <w:rFonts w:hint="eastAsi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8" w:lineRule="exact"/>
      <w:ind w:firstLine="8304"/>
      <w:rPr>
        <w:rFonts w:ascii="黑体" w:hAnsi="黑体" w:eastAsia="黑体" w:cs="黑体"/>
        <w:sz w:val="28"/>
        <w:szCs w:val="28"/>
      </w:rPr>
    </w:pPr>
    <w:r>
      <w:rPr>
        <w:rFonts w:ascii="黑体" w:hAnsi="黑体" w:eastAsia="黑体" w:cs="黑体"/>
        <w:spacing w:val="-1"/>
        <w:position w:val="-4"/>
        <w:sz w:val="28"/>
        <w:szCs w:val="28"/>
      </w:rPr>
      <w:t>9─</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472" w:hanging="213"/>
      </w:pPr>
      <w:rPr>
        <w:rFonts w:hint="default" w:ascii="宋体" w:hAnsi="宋体" w:eastAsia="宋体" w:cs="宋体"/>
        <w:spacing w:val="-56"/>
        <w:w w:val="100"/>
        <w:sz w:val="19"/>
        <w:szCs w:val="19"/>
        <w:lang w:val="zh-CN" w:eastAsia="zh-CN" w:bidi="zh-CN"/>
      </w:rPr>
    </w:lvl>
    <w:lvl w:ilvl="1" w:tentative="0">
      <w:start w:val="0"/>
      <w:numFmt w:val="bullet"/>
      <w:lvlText w:val="•"/>
      <w:lvlJc w:val="left"/>
      <w:pPr>
        <w:ind w:left="1470" w:hanging="213"/>
      </w:pPr>
      <w:rPr>
        <w:rFonts w:hint="default"/>
        <w:lang w:val="zh-CN" w:eastAsia="zh-CN" w:bidi="zh-CN"/>
      </w:rPr>
    </w:lvl>
    <w:lvl w:ilvl="2" w:tentative="0">
      <w:start w:val="0"/>
      <w:numFmt w:val="bullet"/>
      <w:lvlText w:val="•"/>
      <w:lvlJc w:val="left"/>
      <w:pPr>
        <w:ind w:left="2461" w:hanging="213"/>
      </w:pPr>
      <w:rPr>
        <w:rFonts w:hint="default"/>
        <w:lang w:val="zh-CN" w:eastAsia="zh-CN" w:bidi="zh-CN"/>
      </w:rPr>
    </w:lvl>
    <w:lvl w:ilvl="3" w:tentative="0">
      <w:start w:val="0"/>
      <w:numFmt w:val="bullet"/>
      <w:lvlText w:val="•"/>
      <w:lvlJc w:val="left"/>
      <w:pPr>
        <w:ind w:left="3451" w:hanging="213"/>
      </w:pPr>
      <w:rPr>
        <w:rFonts w:hint="default"/>
        <w:lang w:val="zh-CN" w:eastAsia="zh-CN" w:bidi="zh-CN"/>
      </w:rPr>
    </w:lvl>
    <w:lvl w:ilvl="4" w:tentative="0">
      <w:start w:val="0"/>
      <w:numFmt w:val="bullet"/>
      <w:lvlText w:val="•"/>
      <w:lvlJc w:val="left"/>
      <w:pPr>
        <w:ind w:left="4442" w:hanging="213"/>
      </w:pPr>
      <w:rPr>
        <w:rFonts w:hint="default"/>
        <w:lang w:val="zh-CN" w:eastAsia="zh-CN" w:bidi="zh-CN"/>
      </w:rPr>
    </w:lvl>
    <w:lvl w:ilvl="5" w:tentative="0">
      <w:start w:val="0"/>
      <w:numFmt w:val="bullet"/>
      <w:lvlText w:val="•"/>
      <w:lvlJc w:val="left"/>
      <w:pPr>
        <w:ind w:left="5433" w:hanging="213"/>
      </w:pPr>
      <w:rPr>
        <w:rFonts w:hint="default"/>
        <w:lang w:val="zh-CN" w:eastAsia="zh-CN" w:bidi="zh-CN"/>
      </w:rPr>
    </w:lvl>
    <w:lvl w:ilvl="6" w:tentative="0">
      <w:start w:val="0"/>
      <w:numFmt w:val="bullet"/>
      <w:lvlText w:val="•"/>
      <w:lvlJc w:val="left"/>
      <w:pPr>
        <w:ind w:left="6423" w:hanging="213"/>
      </w:pPr>
      <w:rPr>
        <w:rFonts w:hint="default"/>
        <w:lang w:val="zh-CN" w:eastAsia="zh-CN" w:bidi="zh-CN"/>
      </w:rPr>
    </w:lvl>
    <w:lvl w:ilvl="7" w:tentative="0">
      <w:start w:val="0"/>
      <w:numFmt w:val="bullet"/>
      <w:lvlText w:val="•"/>
      <w:lvlJc w:val="left"/>
      <w:pPr>
        <w:ind w:left="7414" w:hanging="213"/>
      </w:pPr>
      <w:rPr>
        <w:rFonts w:hint="default"/>
        <w:lang w:val="zh-CN" w:eastAsia="zh-CN" w:bidi="zh-CN"/>
      </w:rPr>
    </w:lvl>
    <w:lvl w:ilvl="8" w:tentative="0">
      <w:start w:val="0"/>
      <w:numFmt w:val="bullet"/>
      <w:lvlText w:val="•"/>
      <w:lvlJc w:val="left"/>
      <w:pPr>
        <w:ind w:left="8405" w:hanging="213"/>
      </w:pPr>
      <w:rPr>
        <w:rFonts w:hint="default"/>
        <w:lang w:val="zh-CN" w:eastAsia="zh-CN" w:bidi="zh-CN"/>
      </w:rPr>
    </w:lvl>
  </w:abstractNum>
  <w:abstractNum w:abstractNumId="1">
    <w:nsid w:val="03D62ECE"/>
    <w:multiLevelType w:val="multilevel"/>
    <w:tmpl w:val="03D62ECE"/>
    <w:lvl w:ilvl="0" w:tentative="0">
      <w:start w:val="2"/>
      <w:numFmt w:val="decimal"/>
      <w:lvlText w:val="%1."/>
      <w:lvlJc w:val="left"/>
      <w:pPr>
        <w:ind w:left="851" w:hanging="319"/>
      </w:pPr>
      <w:rPr>
        <w:rFonts w:hint="default" w:ascii="宋体" w:hAnsi="宋体" w:eastAsia="宋体" w:cs="宋体"/>
        <w:w w:val="100"/>
        <w:sz w:val="19"/>
        <w:szCs w:val="19"/>
        <w:lang w:val="zh-CN" w:eastAsia="zh-CN" w:bidi="zh-CN"/>
      </w:rPr>
    </w:lvl>
    <w:lvl w:ilvl="1" w:tentative="0">
      <w:start w:val="0"/>
      <w:numFmt w:val="bullet"/>
      <w:lvlText w:val="•"/>
      <w:lvlJc w:val="left"/>
      <w:pPr>
        <w:ind w:left="1812" w:hanging="319"/>
      </w:pPr>
      <w:rPr>
        <w:rFonts w:hint="default"/>
        <w:lang w:val="zh-CN" w:eastAsia="zh-CN" w:bidi="zh-CN"/>
      </w:rPr>
    </w:lvl>
    <w:lvl w:ilvl="2" w:tentative="0">
      <w:start w:val="0"/>
      <w:numFmt w:val="bullet"/>
      <w:lvlText w:val="•"/>
      <w:lvlJc w:val="left"/>
      <w:pPr>
        <w:ind w:left="2765" w:hanging="319"/>
      </w:pPr>
      <w:rPr>
        <w:rFonts w:hint="default"/>
        <w:lang w:val="zh-CN" w:eastAsia="zh-CN" w:bidi="zh-CN"/>
      </w:rPr>
    </w:lvl>
    <w:lvl w:ilvl="3" w:tentative="0">
      <w:start w:val="0"/>
      <w:numFmt w:val="bullet"/>
      <w:lvlText w:val="•"/>
      <w:lvlJc w:val="left"/>
      <w:pPr>
        <w:ind w:left="3717" w:hanging="319"/>
      </w:pPr>
      <w:rPr>
        <w:rFonts w:hint="default"/>
        <w:lang w:val="zh-CN" w:eastAsia="zh-CN" w:bidi="zh-CN"/>
      </w:rPr>
    </w:lvl>
    <w:lvl w:ilvl="4" w:tentative="0">
      <w:start w:val="0"/>
      <w:numFmt w:val="bullet"/>
      <w:lvlText w:val="•"/>
      <w:lvlJc w:val="left"/>
      <w:pPr>
        <w:ind w:left="4670" w:hanging="319"/>
      </w:pPr>
      <w:rPr>
        <w:rFonts w:hint="default"/>
        <w:lang w:val="zh-CN" w:eastAsia="zh-CN" w:bidi="zh-CN"/>
      </w:rPr>
    </w:lvl>
    <w:lvl w:ilvl="5" w:tentative="0">
      <w:start w:val="0"/>
      <w:numFmt w:val="bullet"/>
      <w:lvlText w:val="•"/>
      <w:lvlJc w:val="left"/>
      <w:pPr>
        <w:ind w:left="5623" w:hanging="319"/>
      </w:pPr>
      <w:rPr>
        <w:rFonts w:hint="default"/>
        <w:lang w:val="zh-CN" w:eastAsia="zh-CN" w:bidi="zh-CN"/>
      </w:rPr>
    </w:lvl>
    <w:lvl w:ilvl="6" w:tentative="0">
      <w:start w:val="0"/>
      <w:numFmt w:val="bullet"/>
      <w:lvlText w:val="•"/>
      <w:lvlJc w:val="left"/>
      <w:pPr>
        <w:ind w:left="6575" w:hanging="319"/>
      </w:pPr>
      <w:rPr>
        <w:rFonts w:hint="default"/>
        <w:lang w:val="zh-CN" w:eastAsia="zh-CN" w:bidi="zh-CN"/>
      </w:rPr>
    </w:lvl>
    <w:lvl w:ilvl="7" w:tentative="0">
      <w:start w:val="0"/>
      <w:numFmt w:val="bullet"/>
      <w:lvlText w:val="•"/>
      <w:lvlJc w:val="left"/>
      <w:pPr>
        <w:ind w:left="7528" w:hanging="319"/>
      </w:pPr>
      <w:rPr>
        <w:rFonts w:hint="default"/>
        <w:lang w:val="zh-CN" w:eastAsia="zh-CN" w:bidi="zh-CN"/>
      </w:rPr>
    </w:lvl>
    <w:lvl w:ilvl="8" w:tentative="0">
      <w:start w:val="0"/>
      <w:numFmt w:val="bullet"/>
      <w:lvlText w:val="•"/>
      <w:lvlJc w:val="left"/>
      <w:pPr>
        <w:ind w:left="8481" w:hanging="319"/>
      </w:pPr>
      <w:rPr>
        <w:rFonts w:hint="default"/>
        <w:lang w:val="zh-CN" w:eastAsia="zh-CN" w:bidi="zh-CN"/>
      </w:rPr>
    </w:lvl>
  </w:abstractNum>
  <w:abstractNum w:abstractNumId="2">
    <w:nsid w:val="04838279"/>
    <w:multiLevelType w:val="singleLevel"/>
    <w:tmpl w:val="04838279"/>
    <w:lvl w:ilvl="0" w:tentative="0">
      <w:start w:val="3"/>
      <w:numFmt w:val="chineseCounting"/>
      <w:lvlText w:val="第%1部分"/>
      <w:lvlJc w:val="left"/>
      <w:rPr>
        <w:rFonts w:hint="eastAsia"/>
      </w:rPr>
    </w:lvl>
  </w:abstractNum>
  <w:abstractNum w:abstractNumId="3">
    <w:nsid w:val="2A8F537B"/>
    <w:multiLevelType w:val="multilevel"/>
    <w:tmpl w:val="2A8F537B"/>
    <w:lvl w:ilvl="0" w:tentative="0">
      <w:start w:val="1"/>
      <w:numFmt w:val="decimal"/>
      <w:lvlText w:val="%1）"/>
      <w:lvlJc w:val="left"/>
      <w:pPr>
        <w:ind w:left="1211" w:hanging="318"/>
      </w:pPr>
      <w:rPr>
        <w:rFonts w:hint="default" w:ascii="宋体" w:hAnsi="宋体" w:eastAsia="宋体" w:cs="宋体"/>
        <w:w w:val="100"/>
        <w:sz w:val="19"/>
        <w:szCs w:val="19"/>
        <w:lang w:val="zh-CN" w:eastAsia="zh-CN" w:bidi="zh-CN"/>
      </w:rPr>
    </w:lvl>
    <w:lvl w:ilvl="1" w:tentative="0">
      <w:start w:val="0"/>
      <w:numFmt w:val="bullet"/>
      <w:lvlText w:val="•"/>
      <w:lvlJc w:val="left"/>
      <w:pPr>
        <w:ind w:left="2136" w:hanging="318"/>
      </w:pPr>
      <w:rPr>
        <w:rFonts w:hint="default"/>
        <w:lang w:val="zh-CN" w:eastAsia="zh-CN" w:bidi="zh-CN"/>
      </w:rPr>
    </w:lvl>
    <w:lvl w:ilvl="2" w:tentative="0">
      <w:start w:val="0"/>
      <w:numFmt w:val="bullet"/>
      <w:lvlText w:val="•"/>
      <w:lvlJc w:val="left"/>
      <w:pPr>
        <w:ind w:left="3053" w:hanging="318"/>
      </w:pPr>
      <w:rPr>
        <w:rFonts w:hint="default"/>
        <w:lang w:val="zh-CN" w:eastAsia="zh-CN" w:bidi="zh-CN"/>
      </w:rPr>
    </w:lvl>
    <w:lvl w:ilvl="3" w:tentative="0">
      <w:start w:val="0"/>
      <w:numFmt w:val="bullet"/>
      <w:lvlText w:val="•"/>
      <w:lvlJc w:val="left"/>
      <w:pPr>
        <w:ind w:left="3969" w:hanging="318"/>
      </w:pPr>
      <w:rPr>
        <w:rFonts w:hint="default"/>
        <w:lang w:val="zh-CN" w:eastAsia="zh-CN" w:bidi="zh-CN"/>
      </w:rPr>
    </w:lvl>
    <w:lvl w:ilvl="4" w:tentative="0">
      <w:start w:val="0"/>
      <w:numFmt w:val="bullet"/>
      <w:lvlText w:val="•"/>
      <w:lvlJc w:val="left"/>
      <w:pPr>
        <w:ind w:left="4886" w:hanging="318"/>
      </w:pPr>
      <w:rPr>
        <w:rFonts w:hint="default"/>
        <w:lang w:val="zh-CN" w:eastAsia="zh-CN" w:bidi="zh-CN"/>
      </w:rPr>
    </w:lvl>
    <w:lvl w:ilvl="5" w:tentative="0">
      <w:start w:val="0"/>
      <w:numFmt w:val="bullet"/>
      <w:lvlText w:val="•"/>
      <w:lvlJc w:val="left"/>
      <w:pPr>
        <w:ind w:left="5803" w:hanging="318"/>
      </w:pPr>
      <w:rPr>
        <w:rFonts w:hint="default"/>
        <w:lang w:val="zh-CN" w:eastAsia="zh-CN" w:bidi="zh-CN"/>
      </w:rPr>
    </w:lvl>
    <w:lvl w:ilvl="6" w:tentative="0">
      <w:start w:val="0"/>
      <w:numFmt w:val="bullet"/>
      <w:lvlText w:val="•"/>
      <w:lvlJc w:val="left"/>
      <w:pPr>
        <w:ind w:left="6719" w:hanging="318"/>
      </w:pPr>
      <w:rPr>
        <w:rFonts w:hint="default"/>
        <w:lang w:val="zh-CN" w:eastAsia="zh-CN" w:bidi="zh-CN"/>
      </w:rPr>
    </w:lvl>
    <w:lvl w:ilvl="7" w:tentative="0">
      <w:start w:val="0"/>
      <w:numFmt w:val="bullet"/>
      <w:lvlText w:val="•"/>
      <w:lvlJc w:val="left"/>
      <w:pPr>
        <w:ind w:left="7636" w:hanging="318"/>
      </w:pPr>
      <w:rPr>
        <w:rFonts w:hint="default"/>
        <w:lang w:val="zh-CN" w:eastAsia="zh-CN" w:bidi="zh-CN"/>
      </w:rPr>
    </w:lvl>
    <w:lvl w:ilvl="8" w:tentative="0">
      <w:start w:val="0"/>
      <w:numFmt w:val="bullet"/>
      <w:lvlText w:val="•"/>
      <w:lvlJc w:val="left"/>
      <w:pPr>
        <w:ind w:left="8553" w:hanging="318"/>
      </w:pPr>
      <w:rPr>
        <w:rFonts w:hint="default"/>
        <w:lang w:val="zh-CN" w:eastAsia="zh-CN" w:bidi="zh-CN"/>
      </w:rPr>
    </w:lvl>
  </w:abstractNum>
  <w:abstractNum w:abstractNumId="4">
    <w:nsid w:val="5A241D34"/>
    <w:multiLevelType w:val="multilevel"/>
    <w:tmpl w:val="5A241D34"/>
    <w:lvl w:ilvl="0" w:tentative="0">
      <w:start w:val="1"/>
      <w:numFmt w:val="decimal"/>
      <w:lvlText w:val="（%1）"/>
      <w:lvlJc w:val="left"/>
      <w:pPr>
        <w:ind w:left="1002" w:hanging="530"/>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938" w:hanging="530"/>
      </w:pPr>
      <w:rPr>
        <w:rFonts w:hint="default"/>
        <w:lang w:val="zh-CN" w:eastAsia="zh-CN" w:bidi="zh-CN"/>
      </w:rPr>
    </w:lvl>
    <w:lvl w:ilvl="2" w:tentative="0">
      <w:start w:val="0"/>
      <w:numFmt w:val="bullet"/>
      <w:lvlText w:val="•"/>
      <w:lvlJc w:val="left"/>
      <w:pPr>
        <w:ind w:left="2877" w:hanging="530"/>
      </w:pPr>
      <w:rPr>
        <w:rFonts w:hint="default"/>
        <w:lang w:val="zh-CN" w:eastAsia="zh-CN" w:bidi="zh-CN"/>
      </w:rPr>
    </w:lvl>
    <w:lvl w:ilvl="3" w:tentative="0">
      <w:start w:val="0"/>
      <w:numFmt w:val="bullet"/>
      <w:lvlText w:val="•"/>
      <w:lvlJc w:val="left"/>
      <w:pPr>
        <w:ind w:left="3815" w:hanging="530"/>
      </w:pPr>
      <w:rPr>
        <w:rFonts w:hint="default"/>
        <w:lang w:val="zh-CN" w:eastAsia="zh-CN" w:bidi="zh-CN"/>
      </w:rPr>
    </w:lvl>
    <w:lvl w:ilvl="4" w:tentative="0">
      <w:start w:val="0"/>
      <w:numFmt w:val="bullet"/>
      <w:lvlText w:val="•"/>
      <w:lvlJc w:val="left"/>
      <w:pPr>
        <w:ind w:left="4754" w:hanging="530"/>
      </w:pPr>
      <w:rPr>
        <w:rFonts w:hint="default"/>
        <w:lang w:val="zh-CN" w:eastAsia="zh-CN" w:bidi="zh-CN"/>
      </w:rPr>
    </w:lvl>
    <w:lvl w:ilvl="5" w:tentative="0">
      <w:start w:val="0"/>
      <w:numFmt w:val="bullet"/>
      <w:lvlText w:val="•"/>
      <w:lvlJc w:val="left"/>
      <w:pPr>
        <w:ind w:left="5693" w:hanging="530"/>
      </w:pPr>
      <w:rPr>
        <w:rFonts w:hint="default"/>
        <w:lang w:val="zh-CN" w:eastAsia="zh-CN" w:bidi="zh-CN"/>
      </w:rPr>
    </w:lvl>
    <w:lvl w:ilvl="6" w:tentative="0">
      <w:start w:val="0"/>
      <w:numFmt w:val="bullet"/>
      <w:lvlText w:val="•"/>
      <w:lvlJc w:val="left"/>
      <w:pPr>
        <w:ind w:left="6631" w:hanging="530"/>
      </w:pPr>
      <w:rPr>
        <w:rFonts w:hint="default"/>
        <w:lang w:val="zh-CN" w:eastAsia="zh-CN" w:bidi="zh-CN"/>
      </w:rPr>
    </w:lvl>
    <w:lvl w:ilvl="7" w:tentative="0">
      <w:start w:val="0"/>
      <w:numFmt w:val="bullet"/>
      <w:lvlText w:val="•"/>
      <w:lvlJc w:val="left"/>
      <w:pPr>
        <w:ind w:left="7570" w:hanging="530"/>
      </w:pPr>
      <w:rPr>
        <w:rFonts w:hint="default"/>
        <w:lang w:val="zh-CN" w:eastAsia="zh-CN" w:bidi="zh-CN"/>
      </w:rPr>
    </w:lvl>
    <w:lvl w:ilvl="8" w:tentative="0">
      <w:start w:val="0"/>
      <w:numFmt w:val="bullet"/>
      <w:lvlText w:val="•"/>
      <w:lvlJc w:val="left"/>
      <w:pPr>
        <w:ind w:left="8509" w:hanging="530"/>
      </w:pPr>
      <w:rPr>
        <w:rFonts w:hint="default"/>
        <w:lang w:val="zh-CN" w:eastAsia="zh-CN" w:bidi="zh-CN"/>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NhY2IwNzBiZjgyM2IwODU4ZTdmYWRlYTI5NmFjMGEifQ=="/>
  </w:docVars>
  <w:rsids>
    <w:rsidRoot w:val="00172A27"/>
    <w:rsid w:val="00001240"/>
    <w:rsid w:val="000055F4"/>
    <w:rsid w:val="00007B2F"/>
    <w:rsid w:val="00017073"/>
    <w:rsid w:val="00021140"/>
    <w:rsid w:val="000234C1"/>
    <w:rsid w:val="00027EB9"/>
    <w:rsid w:val="00053321"/>
    <w:rsid w:val="00055BB9"/>
    <w:rsid w:val="00074E7D"/>
    <w:rsid w:val="00075B4F"/>
    <w:rsid w:val="000860B3"/>
    <w:rsid w:val="000933E8"/>
    <w:rsid w:val="00094503"/>
    <w:rsid w:val="000A6B49"/>
    <w:rsid w:val="000D214B"/>
    <w:rsid w:val="000F408B"/>
    <w:rsid w:val="00100188"/>
    <w:rsid w:val="001036AB"/>
    <w:rsid w:val="001163C5"/>
    <w:rsid w:val="0012731A"/>
    <w:rsid w:val="00137B60"/>
    <w:rsid w:val="00147C7B"/>
    <w:rsid w:val="00166A46"/>
    <w:rsid w:val="00172A27"/>
    <w:rsid w:val="00197145"/>
    <w:rsid w:val="001A4009"/>
    <w:rsid w:val="001A535D"/>
    <w:rsid w:val="001B07BD"/>
    <w:rsid w:val="001B6B70"/>
    <w:rsid w:val="001C2CAD"/>
    <w:rsid w:val="001C3A77"/>
    <w:rsid w:val="001E0539"/>
    <w:rsid w:val="001F0042"/>
    <w:rsid w:val="0021277A"/>
    <w:rsid w:val="002173A0"/>
    <w:rsid w:val="002256F1"/>
    <w:rsid w:val="00226731"/>
    <w:rsid w:val="002274AD"/>
    <w:rsid w:val="00232751"/>
    <w:rsid w:val="0024434D"/>
    <w:rsid w:val="00246978"/>
    <w:rsid w:val="00256FF9"/>
    <w:rsid w:val="002600DD"/>
    <w:rsid w:val="00270245"/>
    <w:rsid w:val="00277178"/>
    <w:rsid w:val="00280305"/>
    <w:rsid w:val="002A22A8"/>
    <w:rsid w:val="002A57A6"/>
    <w:rsid w:val="002A6354"/>
    <w:rsid w:val="002D653F"/>
    <w:rsid w:val="002D689A"/>
    <w:rsid w:val="002D7448"/>
    <w:rsid w:val="002F20D4"/>
    <w:rsid w:val="0030000B"/>
    <w:rsid w:val="003041F0"/>
    <w:rsid w:val="003067EF"/>
    <w:rsid w:val="00313345"/>
    <w:rsid w:val="00316BB8"/>
    <w:rsid w:val="00332DBF"/>
    <w:rsid w:val="00354A38"/>
    <w:rsid w:val="003654C5"/>
    <w:rsid w:val="00374B54"/>
    <w:rsid w:val="00381116"/>
    <w:rsid w:val="003827DA"/>
    <w:rsid w:val="00383C0E"/>
    <w:rsid w:val="00383E32"/>
    <w:rsid w:val="003906D5"/>
    <w:rsid w:val="003C267A"/>
    <w:rsid w:val="003F677E"/>
    <w:rsid w:val="003F74A4"/>
    <w:rsid w:val="00404A4D"/>
    <w:rsid w:val="00406BBC"/>
    <w:rsid w:val="00435C84"/>
    <w:rsid w:val="00440242"/>
    <w:rsid w:val="00453EFD"/>
    <w:rsid w:val="004602FC"/>
    <w:rsid w:val="0046609A"/>
    <w:rsid w:val="004663E7"/>
    <w:rsid w:val="004B108B"/>
    <w:rsid w:val="004B5F90"/>
    <w:rsid w:val="004C1A03"/>
    <w:rsid w:val="004C7143"/>
    <w:rsid w:val="004E352D"/>
    <w:rsid w:val="004E6679"/>
    <w:rsid w:val="004E7C83"/>
    <w:rsid w:val="0050638A"/>
    <w:rsid w:val="00512335"/>
    <w:rsid w:val="005132D5"/>
    <w:rsid w:val="00517EE0"/>
    <w:rsid w:val="00526D7B"/>
    <w:rsid w:val="00537A34"/>
    <w:rsid w:val="005472D0"/>
    <w:rsid w:val="00556715"/>
    <w:rsid w:val="00556A08"/>
    <w:rsid w:val="005802E8"/>
    <w:rsid w:val="00584929"/>
    <w:rsid w:val="0058553F"/>
    <w:rsid w:val="00586F22"/>
    <w:rsid w:val="00592397"/>
    <w:rsid w:val="005A0086"/>
    <w:rsid w:val="005D3B7A"/>
    <w:rsid w:val="005D6707"/>
    <w:rsid w:val="005E77F7"/>
    <w:rsid w:val="00601D45"/>
    <w:rsid w:val="00613707"/>
    <w:rsid w:val="006177EA"/>
    <w:rsid w:val="00625321"/>
    <w:rsid w:val="00640807"/>
    <w:rsid w:val="0064168B"/>
    <w:rsid w:val="00642645"/>
    <w:rsid w:val="006448E1"/>
    <w:rsid w:val="00645FFB"/>
    <w:rsid w:val="00646E3B"/>
    <w:rsid w:val="006762C2"/>
    <w:rsid w:val="006915D9"/>
    <w:rsid w:val="006A1B8C"/>
    <w:rsid w:val="006A5BAA"/>
    <w:rsid w:val="006A5D9B"/>
    <w:rsid w:val="006C5CE6"/>
    <w:rsid w:val="006E4DEB"/>
    <w:rsid w:val="006E569B"/>
    <w:rsid w:val="006F246B"/>
    <w:rsid w:val="00702BE8"/>
    <w:rsid w:val="007267AA"/>
    <w:rsid w:val="00737D4F"/>
    <w:rsid w:val="007440F3"/>
    <w:rsid w:val="007468A9"/>
    <w:rsid w:val="00750BDA"/>
    <w:rsid w:val="00755702"/>
    <w:rsid w:val="00763AD3"/>
    <w:rsid w:val="00763EDC"/>
    <w:rsid w:val="00773B4B"/>
    <w:rsid w:val="00780782"/>
    <w:rsid w:val="007832ED"/>
    <w:rsid w:val="00795574"/>
    <w:rsid w:val="007B1197"/>
    <w:rsid w:val="007B7D81"/>
    <w:rsid w:val="007C4F9D"/>
    <w:rsid w:val="007E2F36"/>
    <w:rsid w:val="007F78F7"/>
    <w:rsid w:val="00815703"/>
    <w:rsid w:val="008353DA"/>
    <w:rsid w:val="00840E68"/>
    <w:rsid w:val="00841253"/>
    <w:rsid w:val="00860630"/>
    <w:rsid w:val="008642AA"/>
    <w:rsid w:val="0087256B"/>
    <w:rsid w:val="00877420"/>
    <w:rsid w:val="00881623"/>
    <w:rsid w:val="00884718"/>
    <w:rsid w:val="00894455"/>
    <w:rsid w:val="008A4B1A"/>
    <w:rsid w:val="008A751D"/>
    <w:rsid w:val="008C1C44"/>
    <w:rsid w:val="008E5BD9"/>
    <w:rsid w:val="008F0D21"/>
    <w:rsid w:val="008F3AA9"/>
    <w:rsid w:val="009060B8"/>
    <w:rsid w:val="00935690"/>
    <w:rsid w:val="00947F30"/>
    <w:rsid w:val="0095513B"/>
    <w:rsid w:val="0096751C"/>
    <w:rsid w:val="009931A3"/>
    <w:rsid w:val="00997A1C"/>
    <w:rsid w:val="009A215C"/>
    <w:rsid w:val="009A4884"/>
    <w:rsid w:val="009D2395"/>
    <w:rsid w:val="009E5494"/>
    <w:rsid w:val="00A1595A"/>
    <w:rsid w:val="00A20391"/>
    <w:rsid w:val="00A34B20"/>
    <w:rsid w:val="00A4096F"/>
    <w:rsid w:val="00A63A64"/>
    <w:rsid w:val="00A64DEB"/>
    <w:rsid w:val="00AA1AFF"/>
    <w:rsid w:val="00AA3C7A"/>
    <w:rsid w:val="00AC61C7"/>
    <w:rsid w:val="00AD1ECF"/>
    <w:rsid w:val="00AD56C9"/>
    <w:rsid w:val="00AF63EF"/>
    <w:rsid w:val="00B05324"/>
    <w:rsid w:val="00B306C7"/>
    <w:rsid w:val="00B34855"/>
    <w:rsid w:val="00B718D1"/>
    <w:rsid w:val="00B72FBA"/>
    <w:rsid w:val="00BB4376"/>
    <w:rsid w:val="00BB7419"/>
    <w:rsid w:val="00BC5E31"/>
    <w:rsid w:val="00BC637C"/>
    <w:rsid w:val="00BD10C9"/>
    <w:rsid w:val="00BD1611"/>
    <w:rsid w:val="00BD4BCF"/>
    <w:rsid w:val="00C12E52"/>
    <w:rsid w:val="00C13378"/>
    <w:rsid w:val="00C13982"/>
    <w:rsid w:val="00C173DF"/>
    <w:rsid w:val="00C179DB"/>
    <w:rsid w:val="00C31C47"/>
    <w:rsid w:val="00C31C97"/>
    <w:rsid w:val="00C32592"/>
    <w:rsid w:val="00C51FCA"/>
    <w:rsid w:val="00C64E0E"/>
    <w:rsid w:val="00C76E8F"/>
    <w:rsid w:val="00CA089D"/>
    <w:rsid w:val="00CA73CE"/>
    <w:rsid w:val="00CB5900"/>
    <w:rsid w:val="00CB7433"/>
    <w:rsid w:val="00CE0CAB"/>
    <w:rsid w:val="00CF017D"/>
    <w:rsid w:val="00CF565F"/>
    <w:rsid w:val="00D44B48"/>
    <w:rsid w:val="00D45E6C"/>
    <w:rsid w:val="00D5282A"/>
    <w:rsid w:val="00D53034"/>
    <w:rsid w:val="00D62449"/>
    <w:rsid w:val="00D63F5A"/>
    <w:rsid w:val="00D703D2"/>
    <w:rsid w:val="00D8630D"/>
    <w:rsid w:val="00D92C7A"/>
    <w:rsid w:val="00DB39F0"/>
    <w:rsid w:val="00DC3183"/>
    <w:rsid w:val="00DD6374"/>
    <w:rsid w:val="00DF596E"/>
    <w:rsid w:val="00E0575A"/>
    <w:rsid w:val="00E13767"/>
    <w:rsid w:val="00E16181"/>
    <w:rsid w:val="00E25A11"/>
    <w:rsid w:val="00E371AB"/>
    <w:rsid w:val="00E3747E"/>
    <w:rsid w:val="00E54B68"/>
    <w:rsid w:val="00E61643"/>
    <w:rsid w:val="00E7767C"/>
    <w:rsid w:val="00EA11AE"/>
    <w:rsid w:val="00ED1375"/>
    <w:rsid w:val="00EF5CEA"/>
    <w:rsid w:val="00F01567"/>
    <w:rsid w:val="00F031A3"/>
    <w:rsid w:val="00F37004"/>
    <w:rsid w:val="00F43955"/>
    <w:rsid w:val="00F6798F"/>
    <w:rsid w:val="00F7503F"/>
    <w:rsid w:val="00F827D6"/>
    <w:rsid w:val="00FA7739"/>
    <w:rsid w:val="00FD2423"/>
    <w:rsid w:val="00FD79D9"/>
    <w:rsid w:val="00FE06AE"/>
    <w:rsid w:val="00FE1184"/>
    <w:rsid w:val="00FF01E4"/>
    <w:rsid w:val="00FF7566"/>
    <w:rsid w:val="02731753"/>
    <w:rsid w:val="03E47515"/>
    <w:rsid w:val="082B3963"/>
    <w:rsid w:val="09AD03A9"/>
    <w:rsid w:val="0B493779"/>
    <w:rsid w:val="0C9475FE"/>
    <w:rsid w:val="11034D52"/>
    <w:rsid w:val="15BE2CE3"/>
    <w:rsid w:val="16E60ECE"/>
    <w:rsid w:val="1B30538E"/>
    <w:rsid w:val="1F106C47"/>
    <w:rsid w:val="1F9E4908"/>
    <w:rsid w:val="2173382E"/>
    <w:rsid w:val="235F22BC"/>
    <w:rsid w:val="23A93364"/>
    <w:rsid w:val="23F80794"/>
    <w:rsid w:val="25421B6F"/>
    <w:rsid w:val="269C64AC"/>
    <w:rsid w:val="285A5748"/>
    <w:rsid w:val="28837DB2"/>
    <w:rsid w:val="289A78F2"/>
    <w:rsid w:val="2953641F"/>
    <w:rsid w:val="2B56501D"/>
    <w:rsid w:val="2C70553A"/>
    <w:rsid w:val="2DAC74A1"/>
    <w:rsid w:val="2E8D7FDC"/>
    <w:rsid w:val="2F6E0589"/>
    <w:rsid w:val="34F4558F"/>
    <w:rsid w:val="3574212B"/>
    <w:rsid w:val="35E235E8"/>
    <w:rsid w:val="36CC7811"/>
    <w:rsid w:val="3BE26ECE"/>
    <w:rsid w:val="3DCC2CA5"/>
    <w:rsid w:val="3E2972F7"/>
    <w:rsid w:val="3FDB0F30"/>
    <w:rsid w:val="4042166F"/>
    <w:rsid w:val="4185755D"/>
    <w:rsid w:val="493C3DF8"/>
    <w:rsid w:val="4ADC1F27"/>
    <w:rsid w:val="4DA4725D"/>
    <w:rsid w:val="5099048E"/>
    <w:rsid w:val="52375FA4"/>
    <w:rsid w:val="55B041BC"/>
    <w:rsid w:val="591361CC"/>
    <w:rsid w:val="5BA83AF9"/>
    <w:rsid w:val="5BCD5942"/>
    <w:rsid w:val="5DFD63D7"/>
    <w:rsid w:val="5F294965"/>
    <w:rsid w:val="5F663F89"/>
    <w:rsid w:val="5FB014FF"/>
    <w:rsid w:val="60686E7A"/>
    <w:rsid w:val="620F6329"/>
    <w:rsid w:val="65717652"/>
    <w:rsid w:val="67EB0C16"/>
    <w:rsid w:val="6A174E2C"/>
    <w:rsid w:val="6E122D4D"/>
    <w:rsid w:val="6F3C4CFF"/>
    <w:rsid w:val="6F833684"/>
    <w:rsid w:val="6FC34D69"/>
    <w:rsid w:val="716963F3"/>
    <w:rsid w:val="72B97AF2"/>
    <w:rsid w:val="74CA5699"/>
    <w:rsid w:val="76CD3615"/>
    <w:rsid w:val="79BA116F"/>
    <w:rsid w:val="7D8D57FE"/>
    <w:rsid w:val="7DCB1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0" w:name="heading 8"/>
    <w:lsdException w:qFormat="1" w:uiPriority="0" w:name="heading 9"/>
    <w:lsdException w:uiPriority="0" w:name="index 1"/>
    <w:lsdException w:uiPriority="0" w:name="index 2"/>
    <w:lsdException w:qFormat="1" w:unhideWhenUsed="0" w:uiPriority="0" w:semiHidden="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12"/>
      <w:jc w:val="center"/>
      <w:outlineLvl w:val="0"/>
    </w:pPr>
    <w:rPr>
      <w:b/>
      <w:bCs/>
      <w:sz w:val="44"/>
      <w:szCs w:val="44"/>
    </w:rPr>
  </w:style>
  <w:style w:type="paragraph" w:styleId="3">
    <w:name w:val="heading 2"/>
    <w:basedOn w:val="1"/>
    <w:next w:val="4"/>
    <w:qFormat/>
    <w:uiPriority w:val="1"/>
    <w:pPr>
      <w:spacing w:before="43"/>
      <w:ind w:left="12"/>
      <w:jc w:val="center"/>
      <w:outlineLvl w:val="1"/>
    </w:pPr>
    <w:rPr>
      <w:b/>
      <w:bCs/>
      <w:sz w:val="32"/>
      <w:szCs w:val="32"/>
    </w:rPr>
  </w:style>
  <w:style w:type="paragraph" w:styleId="5">
    <w:name w:val="heading 3"/>
    <w:basedOn w:val="1"/>
    <w:next w:val="4"/>
    <w:qFormat/>
    <w:uiPriority w:val="1"/>
    <w:pPr>
      <w:spacing w:before="141"/>
      <w:ind w:left="472"/>
      <w:jc w:val="center"/>
      <w:outlineLvl w:val="2"/>
    </w:pPr>
    <w:rPr>
      <w:rFonts w:ascii="黑体" w:hAnsi="黑体" w:eastAsia="黑体" w:cs="黑体"/>
      <w:b/>
      <w:bCs/>
      <w:sz w:val="28"/>
      <w:szCs w:val="28"/>
    </w:rPr>
  </w:style>
  <w:style w:type="paragraph" w:styleId="6">
    <w:name w:val="heading 4"/>
    <w:basedOn w:val="1"/>
    <w:next w:val="1"/>
    <w:qFormat/>
    <w:uiPriority w:val="1"/>
    <w:pPr>
      <w:ind w:left="472"/>
      <w:outlineLvl w:val="3"/>
    </w:pPr>
    <w:rPr>
      <w:sz w:val="28"/>
      <w:szCs w:val="28"/>
    </w:rPr>
  </w:style>
  <w:style w:type="paragraph" w:styleId="7">
    <w:name w:val="heading 5"/>
    <w:basedOn w:val="1"/>
    <w:next w:val="1"/>
    <w:qFormat/>
    <w:uiPriority w:val="1"/>
    <w:pPr>
      <w:ind w:left="955"/>
      <w:outlineLvl w:val="4"/>
    </w:pPr>
    <w:rPr>
      <w:b/>
      <w:bCs/>
      <w:sz w:val="24"/>
      <w:szCs w:val="24"/>
    </w:rPr>
  </w:style>
  <w:style w:type="paragraph" w:styleId="8">
    <w:name w:val="heading 6"/>
    <w:basedOn w:val="1"/>
    <w:next w:val="1"/>
    <w:qFormat/>
    <w:uiPriority w:val="1"/>
    <w:pPr>
      <w:ind w:left="918" w:hanging="664"/>
      <w:outlineLvl w:val="5"/>
    </w:pPr>
    <w:rPr>
      <w:b/>
      <w:bCs/>
    </w:rPr>
  </w:style>
  <w:style w:type="paragraph" w:styleId="9">
    <w:name w:val="heading 7"/>
    <w:basedOn w:val="1"/>
    <w:next w:val="1"/>
    <w:qFormat/>
    <w:uiPriority w:val="1"/>
    <w:pPr>
      <w:spacing w:before="61"/>
      <w:outlineLvl w:val="6"/>
    </w:pPr>
    <w:rPr>
      <w:b/>
      <w:bCs/>
      <w:sz w:val="21"/>
      <w:szCs w:val="21"/>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10">
    <w:name w:val="annotation text"/>
    <w:basedOn w:val="1"/>
    <w:link w:val="37"/>
    <w:qFormat/>
    <w:uiPriority w:val="0"/>
  </w:style>
  <w:style w:type="paragraph" w:styleId="11">
    <w:name w:val="Body Text"/>
    <w:basedOn w:val="1"/>
    <w:next w:val="12"/>
    <w:qFormat/>
    <w:uiPriority w:val="1"/>
    <w:rPr>
      <w:sz w:val="21"/>
      <w:szCs w:val="21"/>
    </w:rPr>
  </w:style>
  <w:style w:type="paragraph" w:customStyle="1" w:styleId="12">
    <w:name w:val="style4"/>
    <w:basedOn w:val="1"/>
    <w:next w:val="13"/>
    <w:qFormat/>
    <w:uiPriority w:val="0"/>
    <w:pPr>
      <w:widowControl/>
      <w:spacing w:before="280" w:after="280"/>
    </w:pPr>
    <w:rPr>
      <w:sz w:val="18"/>
    </w:rPr>
  </w:style>
  <w:style w:type="paragraph" w:customStyle="1" w:styleId="13">
    <w:name w:val="2"/>
    <w:next w:val="1"/>
    <w:qFormat/>
    <w:uiPriority w:val="99"/>
    <w:pPr>
      <w:widowControl w:val="0"/>
      <w:jc w:val="both"/>
    </w:pPr>
    <w:rPr>
      <w:rFonts w:ascii="Times New Roman" w:hAnsi="Times New Roman" w:eastAsia="宋体" w:cs="Times New Roman"/>
      <w:kern w:val="2"/>
      <w:sz w:val="21"/>
      <w:szCs w:val="21"/>
      <w:lang w:val="en-US" w:eastAsia="zh-CN" w:bidi="ar-SA"/>
    </w:rPr>
  </w:style>
  <w:style w:type="paragraph" w:styleId="14">
    <w:name w:val="Block Text"/>
    <w:basedOn w:val="1"/>
    <w:qFormat/>
    <w:uiPriority w:val="99"/>
    <w:pPr>
      <w:autoSpaceDE/>
      <w:autoSpaceDN/>
      <w:ind w:left="1440" w:leftChars="700" w:right="700" w:rightChars="700"/>
      <w:jc w:val="both"/>
    </w:pPr>
    <w:rPr>
      <w:rFonts w:ascii="Times New Roman" w:hAnsi="Times New Roman" w:cs="Times New Roman"/>
      <w:color w:val="FF0000"/>
      <w:kern w:val="2"/>
      <w:sz w:val="18"/>
      <w:szCs w:val="24"/>
      <w:lang w:val="en-US" w:bidi="ar-SA"/>
    </w:rPr>
  </w:style>
  <w:style w:type="paragraph" w:styleId="15">
    <w:name w:val="index 3"/>
    <w:basedOn w:val="1"/>
    <w:next w:val="1"/>
    <w:qFormat/>
    <w:uiPriority w:val="0"/>
    <w:pPr>
      <w:ind w:left="400" w:leftChars="400"/>
    </w:pPr>
  </w:style>
  <w:style w:type="paragraph" w:styleId="16">
    <w:name w:val="footer"/>
    <w:basedOn w:val="1"/>
    <w:link w:val="33"/>
    <w:qFormat/>
    <w:uiPriority w:val="0"/>
    <w:pPr>
      <w:tabs>
        <w:tab w:val="center" w:pos="4153"/>
        <w:tab w:val="right" w:pos="8306"/>
      </w:tabs>
      <w:snapToGrid w:val="0"/>
    </w:pPr>
    <w:rPr>
      <w:sz w:val="18"/>
      <w:szCs w:val="18"/>
    </w:rPr>
  </w:style>
  <w:style w:type="paragraph" w:styleId="17">
    <w:name w:val="header"/>
    <w:basedOn w:val="1"/>
    <w:link w:val="32"/>
    <w:qFormat/>
    <w:uiPriority w:val="0"/>
    <w:pPr>
      <w:pBdr>
        <w:bottom w:val="single" w:color="auto" w:sz="6" w:space="1"/>
      </w:pBdr>
      <w:tabs>
        <w:tab w:val="center" w:pos="4153"/>
        <w:tab w:val="right" w:pos="8306"/>
      </w:tabs>
      <w:snapToGrid w:val="0"/>
      <w:jc w:val="center"/>
    </w:pPr>
    <w:rPr>
      <w:sz w:val="18"/>
      <w:szCs w:val="18"/>
    </w:rPr>
  </w:style>
  <w:style w:type="paragraph" w:styleId="18">
    <w:name w:val="footnote text"/>
    <w:basedOn w:val="1"/>
    <w:link w:val="35"/>
    <w:qFormat/>
    <w:uiPriority w:val="0"/>
    <w:pPr>
      <w:snapToGrid w:val="0"/>
    </w:pPr>
    <w:rPr>
      <w:sz w:val="18"/>
      <w:szCs w:val="18"/>
    </w:rPr>
  </w:style>
  <w:style w:type="paragraph" w:styleId="19">
    <w:name w:val="HTML Preformatted"/>
    <w:basedOn w:val="1"/>
    <w:link w:val="39"/>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val="0"/>
      <w:spacing w:line="360" w:lineRule="atLeast"/>
      <w:jc w:val="both"/>
    </w:pPr>
    <w:rPr>
      <w:rFonts w:ascii="Courier New" w:hAnsi="Courier New" w:cs="Times New Roman"/>
      <w:sz w:val="20"/>
      <w:szCs w:val="20"/>
      <w:lang w:val="en-US" w:bidi="ar-SA"/>
    </w:rPr>
  </w:style>
  <w:style w:type="paragraph" w:styleId="20">
    <w:name w:val="Normal (Web)"/>
    <w:basedOn w:val="1"/>
    <w:qFormat/>
    <w:uiPriority w:val="0"/>
    <w:pPr>
      <w:widowControl/>
      <w:spacing w:before="100" w:beforeAutospacing="1" w:after="100" w:afterAutospacing="1"/>
    </w:pPr>
    <w:rPr>
      <w:sz w:val="24"/>
      <w:szCs w:val="24"/>
    </w:rPr>
  </w:style>
  <w:style w:type="paragraph" w:styleId="21">
    <w:name w:val="annotation subject"/>
    <w:basedOn w:val="10"/>
    <w:next w:val="10"/>
    <w:link w:val="38"/>
    <w:qFormat/>
    <w:uiPriority w:val="0"/>
    <w:pPr>
      <w:autoSpaceDE/>
      <w:autoSpaceDN/>
    </w:pPr>
    <w:rPr>
      <w:rFonts w:ascii="Times New Roman" w:hAnsi="Times New Roman" w:cs="Times New Roman"/>
      <w:b/>
      <w:bCs/>
      <w:kern w:val="2"/>
      <w:sz w:val="21"/>
      <w:szCs w:val="20"/>
      <w:lang w:val="en-US" w:bidi="ar-SA"/>
    </w:rPr>
  </w:style>
  <w:style w:type="paragraph" w:styleId="22">
    <w:name w:val="Body Text First Indent"/>
    <w:basedOn w:val="11"/>
    <w:qFormat/>
    <w:uiPriority w:val="0"/>
    <w:pPr>
      <w:tabs>
        <w:tab w:val="left" w:pos="2020"/>
        <w:tab w:val="center" w:pos="4535"/>
      </w:tabs>
      <w:ind w:firstLine="420" w:firstLineChars="100"/>
    </w:pPr>
  </w:style>
  <w:style w:type="character" w:styleId="25">
    <w:name w:val="page number"/>
    <w:qFormat/>
    <w:uiPriority w:val="0"/>
    <w:rPr>
      <w:rFonts w:ascii="Times New Roman" w:hAnsi="Times New Roman" w:eastAsia="宋体" w:cs="Times New Roman"/>
    </w:rPr>
  </w:style>
  <w:style w:type="table" w:customStyle="1" w:styleId="26">
    <w:name w:val="Table Normal"/>
    <w:semiHidden/>
    <w:unhideWhenUsed/>
    <w:qFormat/>
    <w:uiPriority w:val="2"/>
    <w:tblPr>
      <w:tblCellMar>
        <w:top w:w="0" w:type="dxa"/>
        <w:left w:w="0" w:type="dxa"/>
        <w:bottom w:w="0" w:type="dxa"/>
        <w:right w:w="0" w:type="dxa"/>
      </w:tblCellMar>
    </w:tblPr>
  </w:style>
  <w:style w:type="paragraph" w:styleId="27">
    <w:name w:val="List Paragraph"/>
    <w:basedOn w:val="1"/>
    <w:qFormat/>
    <w:uiPriority w:val="1"/>
    <w:pPr>
      <w:ind w:left="472" w:firstLine="420"/>
    </w:pPr>
  </w:style>
  <w:style w:type="paragraph" w:customStyle="1" w:styleId="28">
    <w:name w:val="Table Paragraph"/>
    <w:basedOn w:val="1"/>
    <w:qFormat/>
    <w:uiPriority w:val="1"/>
  </w:style>
  <w:style w:type="paragraph" w:customStyle="1" w:styleId="29">
    <w:name w:val="正文缩进2格"/>
    <w:basedOn w:val="1"/>
    <w:qFormat/>
    <w:uiPriority w:val="0"/>
    <w:pPr>
      <w:spacing w:line="600" w:lineRule="exact"/>
      <w:ind w:firstLine="639" w:firstLineChars="206"/>
    </w:pPr>
    <w:rPr>
      <w:rFonts w:ascii="仿宋_GB2312" w:eastAsia="仿宋_GB2312"/>
      <w:sz w:val="31"/>
      <w:szCs w:val="28"/>
    </w:rPr>
  </w:style>
  <w:style w:type="paragraph" w:customStyle="1" w:styleId="30">
    <w:name w:val="正文_0_0"/>
    <w:basedOn w:val="1"/>
    <w:qFormat/>
    <w:uiPriority w:val="0"/>
    <w:pPr>
      <w:jc w:val="both"/>
    </w:pPr>
    <w:rPr>
      <w:rFonts w:ascii="Times New Roman" w:hAnsi="Times New Roman" w:cs="Times New Roman"/>
      <w:kern w:val="2"/>
      <w:sz w:val="21"/>
      <w:szCs w:val="24"/>
      <w:lang w:val="en-US" w:bidi="ar-SA"/>
    </w:rPr>
  </w:style>
  <w:style w:type="paragraph" w:customStyle="1" w:styleId="31">
    <w:name w:val="p0"/>
    <w:qFormat/>
    <w:uiPriority w:val="0"/>
    <w:rPr>
      <w:rFonts w:ascii="Times New Roman" w:hAnsi="Times New Roman" w:eastAsia="宋体" w:cs="Times New Roman"/>
      <w:szCs w:val="21"/>
      <w:lang w:val="en-US" w:eastAsia="zh-CN" w:bidi="ar-SA"/>
    </w:rPr>
  </w:style>
  <w:style w:type="character" w:customStyle="1" w:styleId="32">
    <w:name w:val="页眉 字符"/>
    <w:basedOn w:val="24"/>
    <w:link w:val="17"/>
    <w:qFormat/>
    <w:uiPriority w:val="0"/>
    <w:rPr>
      <w:rFonts w:ascii="宋体" w:hAnsi="宋体" w:eastAsia="宋体" w:cs="宋体"/>
      <w:sz w:val="18"/>
      <w:szCs w:val="18"/>
      <w:lang w:val="zh-CN" w:bidi="zh-CN"/>
    </w:rPr>
  </w:style>
  <w:style w:type="character" w:customStyle="1" w:styleId="33">
    <w:name w:val="页脚 字符"/>
    <w:basedOn w:val="24"/>
    <w:link w:val="16"/>
    <w:qFormat/>
    <w:uiPriority w:val="0"/>
    <w:rPr>
      <w:rFonts w:ascii="宋体" w:hAnsi="宋体" w:eastAsia="宋体" w:cs="宋体"/>
      <w:sz w:val="18"/>
      <w:szCs w:val="18"/>
      <w:lang w:val="zh-CN" w:bidi="zh-CN"/>
    </w:rPr>
  </w:style>
  <w:style w:type="character" w:customStyle="1" w:styleId="34">
    <w:name w:val="标题 1 Char Char"/>
    <w:qFormat/>
    <w:uiPriority w:val="0"/>
    <w:rPr>
      <w:rFonts w:ascii="Times New Roman" w:hAnsi="Times New Roman" w:eastAsia="宋体" w:cs="Times New Roman"/>
      <w:b/>
      <w:spacing w:val="-2"/>
      <w:sz w:val="24"/>
      <w:lang w:val="en-US" w:eastAsia="zh-CN" w:bidi="ar-SA"/>
    </w:rPr>
  </w:style>
  <w:style w:type="character" w:customStyle="1" w:styleId="35">
    <w:name w:val="脚注文本 字符"/>
    <w:basedOn w:val="24"/>
    <w:link w:val="18"/>
    <w:qFormat/>
    <w:uiPriority w:val="0"/>
    <w:rPr>
      <w:rFonts w:ascii="宋体" w:hAnsi="宋体" w:eastAsia="宋体" w:cs="宋体"/>
      <w:sz w:val="18"/>
      <w:szCs w:val="18"/>
      <w:lang w:val="zh-CN" w:bidi="zh-CN"/>
    </w:rPr>
  </w:style>
  <w:style w:type="paragraph" w:customStyle="1" w:styleId="36">
    <w:name w:val="首行缩进"/>
    <w:basedOn w:val="1"/>
    <w:qFormat/>
    <w:uiPriority w:val="0"/>
    <w:pPr>
      <w:spacing w:line="360" w:lineRule="auto"/>
      <w:ind w:firstLine="480" w:firstLineChars="200"/>
    </w:pPr>
    <w:rPr>
      <w:sz w:val="24"/>
    </w:rPr>
  </w:style>
  <w:style w:type="character" w:customStyle="1" w:styleId="37">
    <w:name w:val="批注文字 字符"/>
    <w:basedOn w:val="24"/>
    <w:link w:val="10"/>
    <w:qFormat/>
    <w:uiPriority w:val="0"/>
    <w:rPr>
      <w:rFonts w:ascii="宋体" w:hAnsi="宋体" w:eastAsia="宋体" w:cs="宋体"/>
      <w:sz w:val="22"/>
      <w:szCs w:val="22"/>
      <w:lang w:val="zh-CN" w:bidi="zh-CN"/>
    </w:rPr>
  </w:style>
  <w:style w:type="character" w:customStyle="1" w:styleId="38">
    <w:name w:val="批注主题 字符"/>
    <w:basedOn w:val="37"/>
    <w:link w:val="21"/>
    <w:qFormat/>
    <w:uiPriority w:val="0"/>
    <w:rPr>
      <w:rFonts w:ascii="Times New Roman" w:hAnsi="Times New Roman" w:eastAsia="宋体" w:cs="Times New Roman"/>
      <w:b/>
      <w:bCs/>
      <w:kern w:val="2"/>
      <w:sz w:val="21"/>
      <w:szCs w:val="22"/>
      <w:lang w:val="zh-CN" w:bidi="zh-CN"/>
    </w:rPr>
  </w:style>
  <w:style w:type="character" w:customStyle="1" w:styleId="39">
    <w:name w:val="HTML 预设格式 字符"/>
    <w:basedOn w:val="24"/>
    <w:link w:val="19"/>
    <w:qFormat/>
    <w:uiPriority w:val="0"/>
    <w:rPr>
      <w:rFonts w:ascii="Courier New" w:hAnsi="Courier New"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78CC79-684E-4FF4-BBA9-93E1AC578A27}">
  <ds:schemaRefs/>
</ds:datastoreItem>
</file>

<file path=docProps/app.xml><?xml version="1.0" encoding="utf-8"?>
<Properties xmlns="http://schemas.openxmlformats.org/officeDocument/2006/extended-properties" xmlns:vt="http://schemas.openxmlformats.org/officeDocument/2006/docPropsVTypes">
  <Template>Normal</Template>
  <Pages>20</Pages>
  <Words>2002</Words>
  <Characters>11418</Characters>
  <Lines>95</Lines>
  <Paragraphs>26</Paragraphs>
  <TotalTime>0</TotalTime>
  <ScaleCrop>false</ScaleCrop>
  <LinksUpToDate>false</LinksUpToDate>
  <CharactersWithSpaces>13394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2023-10-23T03:08:00Z</dcterms:created>
  <dc:creator>中国名望</dc:creator>
  <cp:lastModifiedBy>shiyan</cp:lastModifiedBy>
  <cp:lastPrinted>2022-08-09T09:08:00Z</cp:lastPrinted>
  <dcterms:modified xsi:type="dcterms:W3CDTF">2023-11-27T02:13:07Z</dcterms:modified>
  <dc:title>海门市政府采购招标文件</dc:title>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2022-01-05T00:00:00Z</vt:filetime>
  </property>
  <property fmtid="{D5CDD505-2E9C-101B-9397-08002B2CF9AE}" pid="3" name="Creator">
    <vt:lpwstr>Microsoft? Office Word 2007</vt:lpwstr>
  </property>
  <property fmtid="{D5CDD505-2E9C-101B-9397-08002B2CF9AE}" pid="4" name="LastSaved">
    <vt:filetime>2022-01-10T00:00:00Z</vt:filetime>
  </property>
  <property fmtid="{D5CDD505-2E9C-101B-9397-08002B2CF9AE}" pid="5" name="KSOProductBuildVer">
    <vt:lpwstr>2052-12.1.0.15712</vt:lpwstr>
  </property>
  <property fmtid="{D5CDD505-2E9C-101B-9397-08002B2CF9AE}" pid="6" name="ICV">
    <vt:lpwstr>520F7E8C8C0BD49EE24B1963BCE0D7B0</vt:lpwstr>
  </property>
</Properties>
</file>